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00" w:lineRule="exact"/>
        <w:jc w:val="center"/>
        <w:rPr>
          <w:rFonts w:ascii="方正小标宋简体" w:hAnsi="方正小标宋简体" w:eastAsia="方正小标宋简体" w:cs="方正小标宋简体"/>
          <w:sz w:val="44"/>
          <w:szCs w:val="44"/>
        </w:rPr>
      </w:pPr>
      <w:bookmarkStart w:id="0" w:name="文件标题"/>
      <w:r>
        <w:rPr>
          <w:b/>
          <w:sz w:val="36"/>
          <w:szCs w:val="36"/>
        </w:rPr>
        <w:pict>
          <v:shape id="_x0000_s1036" o:spid="_x0000_s1036" o:spt="136" type="#_x0000_t136" style="position:absolute;left:0pt;margin-left:-1.2pt;margin-top:4.4pt;height:93.6pt;width:461.75pt;z-index:251662336;mso-width-relative:page;mso-height-relative:page;" fillcolor="#FF0000" filled="t" stroked="f" coordsize="21600,21600">
            <v:path/>
            <v:fill on="t" focussize="0,0"/>
            <v:stroke on="f"/>
            <v:imagedata o:title=""/>
            <o:lock v:ext="edit"/>
            <v:textpath on="t" fitshape="t" fitpath="t" trim="t" xscale="f" string="泉州市教育科学研究所" style="font-family:宋体;font-size:36pt;v-text-align:center;"/>
          </v:shape>
        </w:pict>
      </w:r>
    </w:p>
    <w:p>
      <w:pPr>
        <w:snapToGrid w:val="0"/>
        <w:spacing w:line="700" w:lineRule="exact"/>
        <w:jc w:val="center"/>
        <w:rPr>
          <w:rFonts w:ascii="方正小标宋简体" w:hAnsi="方正小标宋简体" w:eastAsia="方正小标宋简体" w:cs="方正小标宋简体"/>
          <w:sz w:val="44"/>
          <w:szCs w:val="44"/>
        </w:rPr>
      </w:pPr>
    </w:p>
    <w:p>
      <w:pPr>
        <w:snapToGrid w:val="0"/>
        <w:spacing w:line="700" w:lineRule="exact"/>
        <w:jc w:val="center"/>
        <w:rPr>
          <w:rFonts w:ascii="方正小标宋简体" w:hAnsi="方正小标宋简体" w:eastAsia="方正小标宋简体" w:cs="方正小标宋简体"/>
          <w:sz w:val="44"/>
          <w:szCs w:val="44"/>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泉教科研[2021]</w:t>
      </w: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号</w:t>
      </w:r>
    </w:p>
    <w:p>
      <w:pPr>
        <w:snapToGrid w:val="0"/>
        <w:spacing w:line="700" w:lineRule="exact"/>
        <w:rPr>
          <w:rFonts w:ascii="方正小标宋简体" w:hAnsi="方正小标宋简体" w:eastAsia="方正小标宋简体" w:cs="方正小标宋简体"/>
          <w:sz w:val="44"/>
          <w:szCs w:val="44"/>
        </w:rPr>
      </w:pPr>
      <w:r>
        <w:rPr>
          <w:rFonts w:hint="eastAsia" w:ascii="仿宋_GB2312" w:eastAsia="仿宋_GB2312"/>
          <w:color w:val="FF0000"/>
          <w:sz w:val="32"/>
          <w:szCs w:val="32"/>
          <w:u w:val="thick"/>
        </w:rPr>
        <w:t xml:space="preserve">                                                         </w:t>
      </w:r>
    </w:p>
    <w:bookmarkEnd w:id="0"/>
    <w:p>
      <w:pPr>
        <w:adjustRightInd w:val="0"/>
        <w:snapToGrid w:val="0"/>
        <w:spacing w:line="560"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关于举办《习近平新时代中国特色社会主义</w:t>
      </w:r>
    </w:p>
    <w:p>
      <w:pPr>
        <w:adjustRightInd w:val="0"/>
        <w:snapToGrid w:val="0"/>
        <w:spacing w:line="560"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思想学生读本》暨泉州市思政课</w:t>
      </w:r>
    </w:p>
    <w:p>
      <w:pPr>
        <w:adjustRightInd w:val="0"/>
        <w:snapToGrid w:val="0"/>
        <w:spacing w:line="56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一体化建设研训活动的通知</w:t>
      </w:r>
    </w:p>
    <w:p>
      <w:pPr>
        <w:spacing w:line="520" w:lineRule="exact"/>
        <w:jc w:val="center"/>
        <w:rPr>
          <w:b/>
          <w:bCs/>
          <w:sz w:val="24"/>
          <w:szCs w:val="32"/>
        </w:rPr>
      </w:pPr>
    </w:p>
    <w:p>
      <w:pPr>
        <w:spacing w:line="52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各县（市、区）教育局，各教师进修学校、市属有关中小学：</w:t>
      </w:r>
    </w:p>
    <w:p>
      <w:pPr>
        <w:spacing w:line="520" w:lineRule="exact"/>
        <w:ind w:firstLine="640" w:firstLineChars="200"/>
        <w:rPr>
          <w:rFonts w:ascii="仿宋_GB2312" w:hAnsi="Times New Roman" w:eastAsia="仿宋_GB2312" w:cs="Times New Roman"/>
          <w:bCs/>
          <w:sz w:val="32"/>
          <w:szCs w:val="32"/>
        </w:rPr>
      </w:pPr>
      <w:r>
        <w:rPr>
          <w:rFonts w:hint="eastAsia" w:ascii="仿宋_GB2312" w:hAnsi="仿宋" w:eastAsia="仿宋_GB2312"/>
          <w:kern w:val="0"/>
          <w:sz w:val="32"/>
          <w:szCs w:val="32"/>
        </w:rPr>
        <w:t>根据国家教材委《关于印发习近平新时代中国特色社会主义思想进课程教材指南的通知》（国教材〔2021〕2号）、《泉州市教育局关于建立泉州市大中小学思政课一体化建设协作机制的通知》（泉教思〔2020〕6号）精神，为深化《习近平新时代中国特色社会主义思想学生读本》使用工作，进一</w:t>
      </w:r>
      <w:r>
        <w:rPr>
          <w:rFonts w:hint="eastAsia" w:ascii="仿宋_GB2312" w:hAnsi="Times New Roman" w:eastAsia="仿宋_GB2312" w:cs="Times New Roman"/>
          <w:bCs/>
          <w:sz w:val="32"/>
          <w:szCs w:val="32"/>
        </w:rPr>
        <w:t>步推进</w:t>
      </w:r>
      <w:r>
        <w:rPr>
          <w:rFonts w:hint="eastAsia" w:ascii="仿宋_GB2312" w:eastAsia="仿宋_GB2312"/>
          <w:sz w:val="32"/>
          <w:szCs w:val="32"/>
        </w:rPr>
        <w:t>泉州市大中小学思政课一体化建设，</w:t>
      </w:r>
      <w:r>
        <w:rPr>
          <w:rFonts w:hint="eastAsia" w:ascii="仿宋_GB2312" w:hAnsi="Times New Roman" w:eastAsia="仿宋_GB2312" w:cs="Times New Roman"/>
          <w:bCs/>
          <w:sz w:val="32"/>
          <w:szCs w:val="32"/>
        </w:rPr>
        <w:t>提高思政课教育教学质量，经研究决定举办《习近平新时代中国特色社会主义思想学生读本》暨思政课一体化建设研训活动。现将有关事项通知如下：</w:t>
      </w:r>
    </w:p>
    <w:p>
      <w:pPr>
        <w:spacing w:line="520" w:lineRule="exact"/>
        <w:ind w:firstLine="646" w:firstLineChars="202"/>
        <w:rPr>
          <w:rFonts w:ascii="黑体" w:hAnsi="黑体" w:eastAsia="黑体" w:cs="Times New Roman"/>
          <w:bCs/>
          <w:sz w:val="32"/>
          <w:szCs w:val="32"/>
        </w:rPr>
      </w:pPr>
      <w:r>
        <w:rPr>
          <w:rFonts w:hint="eastAsia" w:ascii="黑体" w:hAnsi="黑体" w:eastAsia="黑体" w:cs="Times New Roman"/>
          <w:bCs/>
          <w:sz w:val="32"/>
          <w:szCs w:val="32"/>
        </w:rPr>
        <w:t>一、时间</w:t>
      </w:r>
    </w:p>
    <w:p>
      <w:pPr>
        <w:spacing w:line="520" w:lineRule="exact"/>
        <w:ind w:firstLine="646" w:firstLineChars="202"/>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2021年10月26日-</w:t>
      </w:r>
      <w:r>
        <w:rPr>
          <w:rFonts w:hint="eastAsia" w:ascii="仿宋_GB2312" w:hAnsi="Times New Roman" w:eastAsia="仿宋_GB2312" w:cs="Times New Roman"/>
          <w:bCs/>
          <w:sz w:val="32"/>
          <w:szCs w:val="32"/>
          <w:lang w:val="en-US" w:eastAsia="zh-CN"/>
        </w:rPr>
        <w:t>30</w:t>
      </w:r>
      <w:r>
        <w:rPr>
          <w:rFonts w:hint="eastAsia" w:ascii="仿宋_GB2312" w:hAnsi="Times New Roman" w:eastAsia="仿宋_GB2312" w:cs="Times New Roman"/>
          <w:bCs/>
          <w:sz w:val="32"/>
          <w:szCs w:val="32"/>
        </w:rPr>
        <w:t>日（26日上午8：30前报到）。</w:t>
      </w:r>
    </w:p>
    <w:p>
      <w:pPr>
        <w:pStyle w:val="17"/>
        <w:spacing w:line="520" w:lineRule="exact"/>
        <w:ind w:left="360" w:firstLine="0" w:firstLineChars="0"/>
        <w:rPr>
          <w:rFonts w:ascii="黑体" w:hAnsi="黑体" w:eastAsia="黑体" w:cs="Times New Roman"/>
          <w:bCs/>
          <w:sz w:val="32"/>
          <w:szCs w:val="32"/>
        </w:rPr>
      </w:pPr>
      <w:r>
        <w:rPr>
          <w:rFonts w:hint="eastAsia" w:ascii="仿宋_GB2312" w:hAnsi="Times New Roman" w:eastAsia="仿宋_GB2312" w:cs="Times New Roman"/>
          <w:bCs/>
          <w:sz w:val="32"/>
          <w:szCs w:val="32"/>
        </w:rPr>
        <w:t xml:space="preserve"> </w:t>
      </w:r>
      <w:r>
        <w:rPr>
          <w:rFonts w:hint="eastAsia" w:ascii="黑体" w:hAnsi="黑体" w:eastAsia="黑体" w:cs="Times New Roman"/>
          <w:bCs/>
          <w:sz w:val="32"/>
          <w:szCs w:val="32"/>
        </w:rPr>
        <w:t xml:space="preserve"> 二、地点</w:t>
      </w:r>
    </w:p>
    <w:p>
      <w:pPr>
        <w:spacing w:line="520" w:lineRule="exact"/>
        <w:ind w:left="640"/>
        <w:rPr>
          <w:rFonts w:ascii="黑体" w:hAnsi="黑体" w:eastAsia="仿宋_GB2312" w:cs="Times New Roman"/>
          <w:bCs/>
          <w:sz w:val="32"/>
          <w:szCs w:val="32"/>
        </w:rPr>
      </w:pPr>
      <w:r>
        <w:rPr>
          <w:rFonts w:hint="eastAsia" w:ascii="仿宋_GB2312" w:hAnsi="Times New Roman" w:eastAsia="仿宋_GB2312" w:cs="Times New Roman"/>
          <w:bCs/>
          <w:sz w:val="32"/>
          <w:szCs w:val="32"/>
        </w:rPr>
        <w:t>湖美大酒店（丰泽区刺桐北路788号；联系电话22118888）。</w:t>
      </w:r>
    </w:p>
    <w:p>
      <w:pPr>
        <w:spacing w:line="520" w:lineRule="exact"/>
        <w:ind w:left="643"/>
        <w:rPr>
          <w:rFonts w:ascii="黑体" w:hAnsi="黑体" w:eastAsia="黑体" w:cs="Times New Roman"/>
          <w:bCs/>
          <w:sz w:val="32"/>
          <w:szCs w:val="32"/>
        </w:rPr>
      </w:pPr>
      <w:r>
        <w:rPr>
          <w:rFonts w:hint="eastAsia" w:ascii="黑体" w:hAnsi="黑体" w:eastAsia="黑体" w:cs="Times New Roman"/>
          <w:bCs/>
          <w:sz w:val="32"/>
          <w:szCs w:val="32"/>
        </w:rPr>
        <w:t>三、培训内容</w:t>
      </w:r>
    </w:p>
    <w:p>
      <w:pPr>
        <w:spacing w:line="52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1.主题教学：围绕《习近平新时代中国特色社会主义思想学生读本》中“构建人类命运共同体”主题，分别开设小学、初中、高中公开课，探讨同一主题在不同学段的教学方略，其中小学学段题为《人类是一个休戚与共的命运共同体》（授课教师：石狮市教师进修学校黄雅芳）</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rPr>
        <w:t>初中学段题为《人类生活在同一个地球村》（授课教师：泉州一中潘奕峰），高中学段题为《携手构建人类命运共同体》（授课教师：石狮石光中学邱嘉琰）。</w:t>
      </w:r>
    </w:p>
    <w:p>
      <w:pPr>
        <w:spacing w:line="52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2.专题讲座：</w:t>
      </w:r>
      <w:r>
        <w:rPr>
          <w:rFonts w:hint="eastAsia" w:ascii="仿宋_GB2312" w:hAnsi="Times New Roman" w:eastAsia="仿宋_GB2312" w:cs="Times New Roman"/>
          <w:bCs/>
          <w:sz w:val="32"/>
          <w:szCs w:val="32"/>
        </w:rPr>
        <w:sym w:font="Wingdings" w:char="F081"/>
      </w:r>
      <w:r>
        <w:rPr>
          <w:rFonts w:hint="eastAsia" w:ascii="仿宋_GB2312" w:hAnsi="Times New Roman" w:eastAsia="仿宋_GB2312" w:cs="Times New Roman"/>
          <w:bCs/>
          <w:sz w:val="32"/>
          <w:szCs w:val="32"/>
        </w:rPr>
        <w:t>《思政课一体化建设的构建路径与实施策略》（讲座专家：欧捷，南平市高级中学校长、正高级教师）；</w:t>
      </w:r>
      <w:r>
        <w:rPr>
          <w:rFonts w:hint="eastAsia" w:ascii="仿宋_GB2312" w:hAnsi="Times New Roman" w:eastAsia="仿宋_GB2312" w:cs="Times New Roman"/>
          <w:bCs/>
          <w:sz w:val="32"/>
          <w:szCs w:val="32"/>
        </w:rPr>
        <w:sym w:font="Wingdings" w:char="F082"/>
      </w:r>
      <w:r>
        <w:rPr>
          <w:rFonts w:hint="eastAsia" w:ascii="仿宋_GB2312" w:hAnsi="Times New Roman" w:eastAsia="仿宋_GB2312" w:cs="Times New Roman"/>
          <w:bCs/>
          <w:sz w:val="32"/>
          <w:szCs w:val="32"/>
        </w:rPr>
        <w:t>《习近平新时代中国特色社会主义思想学生读本的使用建议》（讲座专家：佘荩，福州市马尾区教师进修学校校长、高级教师）；</w:t>
      </w:r>
      <w:r>
        <w:rPr>
          <w:rFonts w:hint="eastAsia" w:ascii="仿宋_GB2312" w:hAnsi="Times New Roman" w:eastAsia="仿宋_GB2312" w:cs="Times New Roman"/>
          <w:bCs/>
          <w:sz w:val="32"/>
          <w:szCs w:val="32"/>
        </w:rPr>
        <w:sym w:font="Wingdings" w:char="F083"/>
      </w:r>
      <w:r>
        <w:rPr>
          <w:rFonts w:hint="eastAsia" w:ascii="仿宋_GB2312" w:hAnsi="Times New Roman" w:eastAsia="仿宋_GB2312" w:cs="Times New Roman"/>
          <w:bCs/>
          <w:sz w:val="32"/>
          <w:szCs w:val="32"/>
        </w:rPr>
        <w:t>《新变局 新时代 新作为》（线上讲座专家：青岛二中高保卫，特级教师）。</w:t>
      </w:r>
    </w:p>
    <w:p>
      <w:pPr>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3.“四史”教育与社会实践：参观考察考察南平市闽北革命历史纪念馆、廖俊波纪念馆、武夷山张山头红军中医院、武夷山洋庄乡坑口村</w:t>
      </w:r>
      <w:r>
        <w:rPr>
          <w:rFonts w:ascii="仿宋_GB2312" w:hAnsi="Times New Roman" w:eastAsia="仿宋_GB2312" w:cs="Times New Roman"/>
          <w:bCs/>
          <w:sz w:val="32"/>
          <w:szCs w:val="32"/>
        </w:rPr>
        <w:t>坑口革命历史陈列馆</w:t>
      </w:r>
      <w:r>
        <w:rPr>
          <w:rFonts w:hint="eastAsia" w:ascii="仿宋_GB2312" w:hAnsi="Times New Roman" w:eastAsia="仿宋_GB2312" w:cs="Times New Roman"/>
          <w:bCs/>
          <w:sz w:val="32"/>
          <w:szCs w:val="32"/>
        </w:rPr>
        <w:t>、</w:t>
      </w:r>
      <w:r>
        <w:rPr>
          <w:rFonts w:hint="eastAsia" w:ascii="仿宋_GB2312" w:hAnsi="Times New Roman" w:eastAsia="仿宋_GB2312" w:cs="Times New Roman"/>
          <w:bCs/>
          <w:sz w:val="32"/>
          <w:szCs w:val="32"/>
          <w:lang w:eastAsia="zh-CN"/>
        </w:rPr>
        <w:t>建阳考亭书院、</w:t>
      </w:r>
      <w:r>
        <w:rPr>
          <w:rFonts w:hint="eastAsia" w:ascii="仿宋_GB2312" w:hAnsi="Times New Roman" w:eastAsia="仿宋_GB2312" w:cs="Times New Roman"/>
          <w:bCs/>
          <w:sz w:val="32"/>
          <w:szCs w:val="32"/>
        </w:rPr>
        <w:t>南平大安中央苏区等教育基地。</w:t>
      </w:r>
    </w:p>
    <w:p>
      <w:pPr>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4.《习近平新时代中国特色社会主义思想学生读本》教学心得及大中小学思政课一体化建设经验交流研讨。</w:t>
      </w:r>
    </w:p>
    <w:p>
      <w:pPr>
        <w:adjustRightInd w:val="0"/>
        <w:snapToGrid w:val="0"/>
        <w:spacing w:line="52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四、参加对象</w:t>
      </w:r>
    </w:p>
    <w:p>
      <w:pPr>
        <w:spacing w:line="52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本次培训活动采取现场同步直播方式，组织思政课教师分别在线上、线下参加。</w:t>
      </w:r>
    </w:p>
    <w:p>
      <w:pPr>
        <w:spacing w:line="52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1.线下参加人员：</w:t>
      </w:r>
      <w:r>
        <w:rPr>
          <w:rFonts w:hint="eastAsia" w:ascii="仿宋_GB2312" w:hAnsi="Times New Roman" w:eastAsia="仿宋_GB2312" w:cs="Times New Roman"/>
          <w:bCs/>
          <w:sz w:val="32"/>
          <w:szCs w:val="32"/>
        </w:rPr>
        <w:sym w:font="Wingdings" w:char="F081"/>
      </w:r>
      <w:r>
        <w:rPr>
          <w:rFonts w:hint="eastAsia" w:ascii="仿宋_GB2312" w:hAnsi="Times New Roman" w:eastAsia="仿宋_GB2312" w:cs="Times New Roman"/>
          <w:bCs/>
          <w:sz w:val="32"/>
          <w:szCs w:val="32"/>
        </w:rPr>
        <w:t>各县市（区）选派中小学思政课教研员各1名；</w:t>
      </w:r>
      <w:r>
        <w:rPr>
          <w:rFonts w:hint="eastAsia" w:ascii="仿宋_GB2312" w:hAnsi="Times New Roman" w:eastAsia="仿宋_GB2312" w:cs="Times New Roman"/>
          <w:bCs/>
          <w:sz w:val="32"/>
          <w:szCs w:val="32"/>
        </w:rPr>
        <w:sym w:font="Wingdings" w:char="F082"/>
      </w:r>
      <w:r>
        <w:rPr>
          <w:rFonts w:hint="eastAsia" w:ascii="仿宋_GB2312" w:hAnsi="Times New Roman" w:eastAsia="仿宋_GB2312" w:cs="Times New Roman"/>
          <w:bCs/>
          <w:sz w:val="32"/>
          <w:szCs w:val="32"/>
        </w:rPr>
        <w:t>市直中小学校1名思政课教师；</w:t>
      </w:r>
      <w:r>
        <w:rPr>
          <w:rFonts w:hint="eastAsia" w:ascii="仿宋_GB2312" w:hAnsi="Times New Roman" w:eastAsia="仿宋_GB2312" w:cs="Times New Roman"/>
          <w:bCs/>
          <w:sz w:val="32"/>
          <w:szCs w:val="32"/>
        </w:rPr>
        <w:sym w:font="Wingdings" w:char="F083"/>
      </w:r>
      <w:r>
        <w:rPr>
          <w:rFonts w:hint="eastAsia" w:ascii="仿宋_GB2312" w:hAnsi="Times New Roman" w:eastAsia="仿宋_GB2312" w:cs="Times New Roman"/>
          <w:bCs/>
          <w:sz w:val="32"/>
          <w:szCs w:val="32"/>
        </w:rPr>
        <w:t>特邀泉州市级课题《泉州市大中小学思政课一体化建设研究》课题组部分成员参加。</w:t>
      </w:r>
    </w:p>
    <w:p>
      <w:pPr>
        <w:spacing w:line="52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2.线上参加人员：各地各校组织《习近平新时代中国特色社会主义思想学生读本》授课教师（各学段）及下一年度拟担任该课程教学的思政课教师，通过网络参与26日—27日的培训活动（届时请扫描进入直播钉钉群的二维码并打卡，见附件2）。 </w:t>
      </w:r>
    </w:p>
    <w:p>
      <w:pPr>
        <w:adjustRightInd w:val="0"/>
        <w:snapToGrid w:val="0"/>
        <w:spacing w:line="52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五、其他事项</w:t>
      </w:r>
    </w:p>
    <w:p>
      <w:pPr>
        <w:adjustRightInd w:val="0"/>
        <w:snapToGrid w:val="0"/>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1.请各县（市、区）教育局、教师进修学校、有关市属中小学负责通知有关对象参加。线下参与人员《回执单》（附件1）于10月20日上午下班前发送至邮箱：qzjkszzjy@163.com或以短信形式发送给协调指导组办公室（联系人：林老师，联系电话：13625964829）。</w:t>
      </w:r>
    </w:p>
    <w:p>
      <w:pPr>
        <w:spacing w:line="580" w:lineRule="exact"/>
        <w:ind w:right="25" w:rightChars="12" w:firstLine="57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2.培训活动全程</w:t>
      </w:r>
      <w:r>
        <w:rPr>
          <w:rFonts w:hint="eastAsia" w:ascii="仿宋_GB2312" w:hAnsi="仿宋_GB2312" w:eastAsia="仿宋_GB2312" w:cs="仿宋_GB2312"/>
          <w:spacing w:val="-4"/>
          <w:sz w:val="32"/>
          <w:szCs w:val="32"/>
        </w:rPr>
        <w:t>落实</w:t>
      </w:r>
      <w:r>
        <w:rPr>
          <w:rFonts w:ascii="仿宋_GB2312" w:hAnsi="仿宋_GB2312" w:eastAsia="仿宋_GB2312" w:cs="仿宋_GB2312"/>
          <w:spacing w:val="-4"/>
          <w:sz w:val="32"/>
          <w:szCs w:val="32"/>
        </w:rPr>
        <w:t>常态化</w:t>
      </w:r>
      <w:r>
        <w:rPr>
          <w:rFonts w:hint="eastAsia" w:ascii="仿宋_GB2312" w:hAnsi="仿宋_GB2312" w:eastAsia="仿宋_GB2312" w:cs="仿宋_GB2312"/>
          <w:spacing w:val="-4"/>
          <w:sz w:val="32"/>
          <w:szCs w:val="32"/>
        </w:rPr>
        <w:t>疫情</w:t>
      </w:r>
      <w:r>
        <w:rPr>
          <w:rFonts w:ascii="仿宋_GB2312" w:hAnsi="仿宋_GB2312" w:eastAsia="仿宋_GB2312" w:cs="仿宋_GB2312"/>
          <w:spacing w:val="-4"/>
          <w:sz w:val="32"/>
          <w:szCs w:val="32"/>
        </w:rPr>
        <w:t>防控</w:t>
      </w:r>
      <w:r>
        <w:rPr>
          <w:rFonts w:hint="eastAsia" w:ascii="仿宋_GB2312" w:hAnsi="仿宋_GB2312" w:eastAsia="仿宋_GB2312" w:cs="仿宋_GB2312"/>
          <w:spacing w:val="-4"/>
          <w:sz w:val="32"/>
          <w:szCs w:val="32"/>
        </w:rPr>
        <w:t>工作要求，</w:t>
      </w:r>
      <w:r>
        <w:rPr>
          <w:rFonts w:ascii="仿宋_GB2312" w:hAnsi="仿宋_GB2312" w:eastAsia="仿宋_GB2312" w:cs="仿宋_GB2312"/>
          <w:spacing w:val="-4"/>
          <w:sz w:val="32"/>
          <w:szCs w:val="32"/>
        </w:rPr>
        <w:t>请</w:t>
      </w:r>
      <w:r>
        <w:rPr>
          <w:rFonts w:hint="eastAsia" w:ascii="仿宋_GB2312" w:hAnsi="仿宋_GB2312" w:eastAsia="仿宋_GB2312" w:cs="仿宋_GB2312"/>
          <w:spacing w:val="-4"/>
          <w:sz w:val="32"/>
          <w:szCs w:val="32"/>
        </w:rPr>
        <w:t>参加人员</w:t>
      </w:r>
      <w:r>
        <w:rPr>
          <w:rFonts w:ascii="仿宋_GB2312" w:hAnsi="仿宋_GB2312" w:eastAsia="仿宋_GB2312" w:cs="仿宋_GB2312"/>
          <w:spacing w:val="-4"/>
          <w:sz w:val="32"/>
          <w:szCs w:val="32"/>
        </w:rPr>
        <w:t>自觉</w:t>
      </w:r>
      <w:r>
        <w:rPr>
          <w:rFonts w:hint="eastAsia" w:ascii="仿宋_GB2312" w:hAnsi="仿宋_GB2312" w:eastAsia="仿宋_GB2312" w:cs="仿宋_GB2312"/>
          <w:spacing w:val="-4"/>
          <w:sz w:val="32"/>
          <w:szCs w:val="32"/>
        </w:rPr>
        <w:t>遵守活动</w:t>
      </w:r>
      <w:r>
        <w:rPr>
          <w:rFonts w:ascii="仿宋_GB2312" w:hAnsi="仿宋_GB2312" w:eastAsia="仿宋_GB2312" w:cs="仿宋_GB2312"/>
          <w:spacing w:val="-4"/>
          <w:sz w:val="32"/>
          <w:szCs w:val="32"/>
        </w:rPr>
        <w:t>地点</w:t>
      </w:r>
      <w:r>
        <w:rPr>
          <w:rFonts w:hint="eastAsia" w:ascii="仿宋_GB2312" w:hAnsi="仿宋_GB2312" w:eastAsia="仿宋_GB2312" w:cs="仿宋_GB2312"/>
          <w:spacing w:val="-4"/>
          <w:sz w:val="32"/>
          <w:szCs w:val="32"/>
        </w:rPr>
        <w:t>（</w:t>
      </w:r>
      <w:r>
        <w:rPr>
          <w:rFonts w:ascii="仿宋_GB2312" w:hAnsi="仿宋_GB2312" w:eastAsia="仿宋_GB2312" w:cs="仿宋_GB2312"/>
          <w:spacing w:val="-4"/>
          <w:sz w:val="32"/>
          <w:szCs w:val="32"/>
        </w:rPr>
        <w:t>含酒店、学校</w:t>
      </w:r>
      <w:r>
        <w:rPr>
          <w:rFonts w:hint="eastAsia" w:ascii="仿宋_GB2312" w:hAnsi="仿宋_GB2312" w:eastAsia="仿宋_GB2312" w:cs="仿宋_GB2312"/>
          <w:spacing w:val="-4"/>
          <w:sz w:val="32"/>
          <w:szCs w:val="32"/>
        </w:rPr>
        <w:t>、实践地点</w:t>
      </w:r>
      <w:r>
        <w:rPr>
          <w:rFonts w:ascii="仿宋_GB2312" w:hAnsi="仿宋_GB2312" w:eastAsia="仿宋_GB2312" w:cs="仿宋_GB2312"/>
          <w:spacing w:val="-4"/>
          <w:sz w:val="32"/>
          <w:szCs w:val="32"/>
        </w:rPr>
        <w:t>）各</w:t>
      </w:r>
      <w:r>
        <w:rPr>
          <w:rFonts w:hint="eastAsia" w:ascii="仿宋_GB2312" w:hAnsi="仿宋_GB2312" w:eastAsia="仿宋_GB2312" w:cs="仿宋_GB2312"/>
          <w:spacing w:val="-4"/>
          <w:sz w:val="32"/>
          <w:szCs w:val="32"/>
        </w:rPr>
        <w:t>项</w:t>
      </w:r>
      <w:r>
        <w:rPr>
          <w:rFonts w:ascii="仿宋_GB2312" w:hAnsi="仿宋_GB2312" w:eastAsia="仿宋_GB2312" w:cs="仿宋_GB2312"/>
          <w:spacing w:val="-4"/>
          <w:sz w:val="32"/>
          <w:szCs w:val="32"/>
        </w:rPr>
        <w:t>疫情防控措施</w:t>
      </w:r>
      <w:r>
        <w:rPr>
          <w:rFonts w:hint="eastAsia" w:ascii="仿宋_GB2312" w:hAnsi="仿宋_GB2312" w:eastAsia="仿宋_GB2312" w:cs="仿宋_GB2312"/>
          <w:spacing w:val="-4"/>
          <w:sz w:val="32"/>
          <w:szCs w:val="32"/>
        </w:rPr>
        <w:t>和</w:t>
      </w:r>
      <w:r>
        <w:rPr>
          <w:rFonts w:ascii="仿宋_GB2312" w:hAnsi="仿宋_GB2312" w:eastAsia="仿宋_GB2312" w:cs="仿宋_GB2312"/>
          <w:spacing w:val="-4"/>
          <w:sz w:val="32"/>
          <w:szCs w:val="32"/>
        </w:rPr>
        <w:t>制度</w:t>
      </w:r>
      <w:r>
        <w:rPr>
          <w:rFonts w:hint="eastAsia" w:ascii="仿宋_GB2312" w:hAnsi="仿宋_GB2312" w:eastAsia="仿宋_GB2312" w:cs="仿宋_GB2312"/>
          <w:spacing w:val="-4"/>
          <w:sz w:val="32"/>
          <w:szCs w:val="32"/>
        </w:rPr>
        <w:t>，</w:t>
      </w:r>
      <w:r>
        <w:rPr>
          <w:rFonts w:ascii="仿宋_GB2312" w:hAnsi="仿宋_GB2312" w:eastAsia="仿宋_GB2312" w:cs="仿宋_GB2312"/>
          <w:spacing w:val="-4"/>
          <w:sz w:val="32"/>
          <w:szCs w:val="32"/>
        </w:rPr>
        <w:t>保持合理</w:t>
      </w:r>
      <w:r>
        <w:rPr>
          <w:rFonts w:hint="eastAsia" w:ascii="仿宋_GB2312" w:hAnsi="仿宋_GB2312" w:eastAsia="仿宋_GB2312" w:cs="仿宋_GB2312"/>
          <w:spacing w:val="-4"/>
          <w:sz w:val="32"/>
          <w:szCs w:val="32"/>
        </w:rPr>
        <w:t>社交</w:t>
      </w:r>
      <w:r>
        <w:rPr>
          <w:rFonts w:ascii="仿宋_GB2312" w:hAnsi="仿宋_GB2312" w:eastAsia="仿宋_GB2312" w:cs="仿宋_GB2312"/>
          <w:spacing w:val="-4"/>
          <w:sz w:val="32"/>
          <w:szCs w:val="32"/>
        </w:rPr>
        <w:t>距离，科学</w:t>
      </w:r>
      <w:r>
        <w:rPr>
          <w:rFonts w:hint="eastAsia" w:ascii="仿宋_GB2312" w:hAnsi="仿宋_GB2312" w:eastAsia="仿宋_GB2312" w:cs="仿宋_GB2312"/>
          <w:spacing w:val="-4"/>
          <w:sz w:val="32"/>
          <w:szCs w:val="32"/>
        </w:rPr>
        <w:t>佩戴</w:t>
      </w:r>
      <w:r>
        <w:rPr>
          <w:rFonts w:ascii="仿宋_GB2312" w:hAnsi="仿宋_GB2312" w:eastAsia="仿宋_GB2312" w:cs="仿宋_GB2312"/>
          <w:spacing w:val="-4"/>
          <w:sz w:val="32"/>
          <w:szCs w:val="32"/>
        </w:rPr>
        <w:t>口罩</w:t>
      </w:r>
      <w:r>
        <w:rPr>
          <w:rFonts w:hint="eastAsia" w:ascii="仿宋_GB2312" w:hAnsi="仿宋_GB2312" w:eastAsia="仿宋_GB2312" w:cs="仿宋_GB2312"/>
          <w:spacing w:val="-4"/>
          <w:sz w:val="32"/>
          <w:szCs w:val="32"/>
        </w:rPr>
        <w:t>。</w:t>
      </w:r>
      <w:r>
        <w:rPr>
          <w:rFonts w:ascii="仿宋_GB2312" w:hAnsi="仿宋_GB2312" w:eastAsia="仿宋_GB2312" w:cs="仿宋_GB2312"/>
          <w:spacing w:val="-4"/>
          <w:sz w:val="32"/>
          <w:szCs w:val="32"/>
        </w:rPr>
        <w:t>如</w:t>
      </w:r>
      <w:r>
        <w:rPr>
          <w:rFonts w:hint="eastAsia" w:ascii="仿宋_GB2312" w:hAnsi="仿宋_GB2312" w:eastAsia="仿宋_GB2312" w:cs="仿宋_GB2312"/>
          <w:spacing w:val="-4"/>
          <w:sz w:val="32"/>
          <w:szCs w:val="32"/>
        </w:rPr>
        <w:t>个人</w:t>
      </w:r>
      <w:r>
        <w:rPr>
          <w:rFonts w:ascii="仿宋_GB2312" w:hAnsi="仿宋_GB2312" w:eastAsia="仿宋_GB2312" w:cs="仿宋_GB2312"/>
          <w:spacing w:val="-4"/>
          <w:sz w:val="32"/>
          <w:szCs w:val="32"/>
        </w:rPr>
        <w:t>身体</w:t>
      </w:r>
      <w:r>
        <w:rPr>
          <w:rFonts w:hint="eastAsia" w:ascii="仿宋_GB2312" w:hAnsi="仿宋_GB2312" w:eastAsia="仿宋_GB2312" w:cs="仿宋_GB2312"/>
          <w:spacing w:val="-4"/>
          <w:sz w:val="32"/>
          <w:szCs w:val="32"/>
        </w:rPr>
        <w:t>健康出现</w:t>
      </w:r>
      <w:r>
        <w:rPr>
          <w:rFonts w:ascii="仿宋_GB2312" w:hAnsi="仿宋_GB2312" w:eastAsia="仿宋_GB2312" w:cs="仿宋_GB2312"/>
          <w:spacing w:val="-4"/>
          <w:sz w:val="32"/>
          <w:szCs w:val="32"/>
        </w:rPr>
        <w:t>不适，须</w:t>
      </w:r>
      <w:r>
        <w:rPr>
          <w:rFonts w:hint="eastAsia" w:ascii="仿宋_GB2312" w:hAnsi="仿宋_GB2312" w:eastAsia="仿宋_GB2312" w:cs="仿宋_GB2312"/>
          <w:spacing w:val="-4"/>
          <w:sz w:val="32"/>
          <w:szCs w:val="32"/>
        </w:rPr>
        <w:t>第一时间</w:t>
      </w:r>
      <w:r>
        <w:rPr>
          <w:rFonts w:ascii="仿宋_GB2312" w:hAnsi="仿宋_GB2312" w:eastAsia="仿宋_GB2312" w:cs="仿宋_GB2312"/>
          <w:spacing w:val="-4"/>
          <w:sz w:val="32"/>
          <w:szCs w:val="32"/>
        </w:rPr>
        <w:t>向会议联系人报告，并积极配合</w:t>
      </w:r>
      <w:r>
        <w:rPr>
          <w:rFonts w:hint="eastAsia" w:ascii="仿宋_GB2312" w:hAnsi="仿宋_GB2312" w:eastAsia="仿宋_GB2312" w:cs="仿宋_GB2312"/>
          <w:spacing w:val="-4"/>
          <w:sz w:val="32"/>
          <w:szCs w:val="32"/>
        </w:rPr>
        <w:t>落实防疫措施</w:t>
      </w:r>
      <w:r>
        <w:rPr>
          <w:rFonts w:ascii="仿宋_GB2312" w:hAnsi="仿宋_GB2312" w:eastAsia="仿宋_GB2312" w:cs="仿宋_GB2312"/>
          <w:spacing w:val="-4"/>
          <w:sz w:val="32"/>
          <w:szCs w:val="32"/>
        </w:rPr>
        <w:t>。</w:t>
      </w:r>
    </w:p>
    <w:p>
      <w:pPr>
        <w:adjustRightInd w:val="0"/>
        <w:snapToGrid w:val="0"/>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3.本次研训活动费用从泉州市大中小学思政课一体化建设专项经费中报支。</w:t>
      </w:r>
      <w:bookmarkStart w:id="1" w:name="_GoBack"/>
      <w:bookmarkEnd w:id="1"/>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bCs/>
          <w:sz w:val="32"/>
          <w:szCs w:val="32"/>
        </w:rPr>
        <w:t>4.参加线下研训人员的差旅费</w:t>
      </w:r>
      <w:r>
        <w:rPr>
          <w:rFonts w:hint="eastAsia" w:ascii="仿宋_GB2312" w:hAnsi="Times New Roman" w:eastAsia="仿宋_GB2312" w:cs="Times New Roman"/>
          <w:bCs/>
          <w:sz w:val="32"/>
          <w:szCs w:val="32"/>
          <w:lang w:eastAsia="zh-CN"/>
        </w:rPr>
        <w:t>（交通费、住宿费）</w:t>
      </w:r>
      <w:r>
        <w:rPr>
          <w:rFonts w:hint="eastAsia" w:ascii="仿宋_GB2312" w:hAnsi="Times New Roman" w:eastAsia="仿宋_GB2312" w:cs="Times New Roman"/>
          <w:bCs/>
          <w:sz w:val="32"/>
          <w:szCs w:val="32"/>
        </w:rPr>
        <w:t xml:space="preserve">回原单位报销。 </w:t>
      </w:r>
    </w:p>
    <w:p>
      <w:pPr>
        <w:adjustRightInd w:val="0"/>
        <w:snapToGrid w:val="0"/>
        <w:spacing w:line="520" w:lineRule="exact"/>
        <w:rPr>
          <w:rFonts w:ascii="仿宋_GB2312" w:hAnsi="Times New Roman" w:eastAsia="仿宋_GB2312" w:cs="Times New Roman"/>
          <w:bCs/>
          <w:sz w:val="32"/>
          <w:szCs w:val="32"/>
        </w:rPr>
      </w:pPr>
      <w:r>
        <w:rPr>
          <w:rFonts w:hint="eastAsia" w:ascii="仿宋_GB2312" w:hAnsi="仿宋_GB2312" w:eastAsia="仿宋_GB2312" w:cs="仿宋_GB2312"/>
          <w:sz w:val="32"/>
          <w:szCs w:val="32"/>
        </w:rPr>
        <w:t>附件：</w:t>
      </w:r>
      <w:r>
        <w:rPr>
          <w:rFonts w:hint="eastAsia" w:ascii="仿宋_GB2312" w:hAnsi="Times New Roman" w:eastAsia="仿宋_GB2312" w:cs="Times New Roman"/>
          <w:bCs/>
          <w:sz w:val="32"/>
          <w:szCs w:val="32"/>
        </w:rPr>
        <w:t>1.</w:t>
      </w:r>
      <w:r>
        <w:rPr>
          <w:rFonts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rPr>
        <w:t>回执单</w:t>
      </w:r>
    </w:p>
    <w:p>
      <w:pPr>
        <w:adjustRightInd w:val="0"/>
        <w:snapToGrid w:val="0"/>
        <w:spacing w:line="520" w:lineRule="exact"/>
        <w:ind w:firstLine="960" w:firstLineChars="300"/>
        <w:rPr>
          <w:rFonts w:ascii="仿宋_GB2312" w:eastAsia="仿宋_GB2312"/>
          <w:sz w:val="32"/>
          <w:szCs w:val="32"/>
        </w:rPr>
      </w:pPr>
      <w:r>
        <w:rPr>
          <w:rFonts w:hint="eastAsia" w:ascii="仿宋_GB2312" w:hAnsi="Times New Roman" w:eastAsia="仿宋_GB2312" w:cs="Times New Roman"/>
          <w:bCs/>
          <w:sz w:val="32"/>
          <w:szCs w:val="32"/>
        </w:rPr>
        <w:t>2.线上培训钉群二维码</w:t>
      </w:r>
    </w:p>
    <w:p>
      <w:pPr>
        <w:spacing w:line="520" w:lineRule="exact"/>
        <w:jc w:val="right"/>
        <w:rPr>
          <w:rFonts w:ascii="仿宋_GB2312" w:eastAsia="仿宋_GB2312"/>
          <w:sz w:val="32"/>
          <w:szCs w:val="32"/>
        </w:rPr>
      </w:pPr>
      <w:r>
        <w:rPr>
          <w:rFonts w:hint="eastAsia" w:ascii="仿宋_GB2312" w:eastAsia="仿宋_GB2312"/>
          <w:sz w:val="32"/>
          <w:szCs w:val="32"/>
        </w:rPr>
        <w:t>泉州市教育局思政科           泉州市教育科学研究所</w:t>
      </w:r>
    </w:p>
    <w:p>
      <w:pPr>
        <w:spacing w:line="520" w:lineRule="exact"/>
        <w:jc w:val="right"/>
        <w:rPr>
          <w:rFonts w:ascii="黑体" w:hAnsi="黑体" w:eastAsia="黑体" w:cs="Times New Roman"/>
          <w:bCs/>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eastAsia="仿宋_GB2312"/>
          <w:sz w:val="32"/>
          <w:szCs w:val="32"/>
        </w:rPr>
        <w:t>2021</w:t>
      </w:r>
      <w:r>
        <w:rPr>
          <w:rFonts w:hint="eastAsia" w:ascii="仿宋_GB2312" w:hAnsi="仿宋_GB2312" w:eastAsia="仿宋_GB2312" w:cs="仿宋_GB2312"/>
          <w:sz w:val="32"/>
          <w:szCs w:val="32"/>
        </w:rPr>
        <w:t>年10月13日</w:t>
      </w:r>
    </w:p>
    <w:p>
      <w:pPr>
        <w:adjustRightInd w:val="0"/>
        <w:snapToGrid w:val="0"/>
        <w:spacing w:line="600" w:lineRule="exact"/>
        <w:ind w:left="840" w:hanging="840" w:hangingChars="3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35560</wp:posOffset>
                </wp:positionV>
                <wp:extent cx="5829300" cy="0"/>
                <wp:effectExtent l="0" t="4445" r="0" b="5080"/>
                <wp:wrapNone/>
                <wp:docPr id="2" name="直线 9"/>
                <wp:cNvGraphicFramePr/>
                <a:graphic xmlns:a="http://schemas.openxmlformats.org/drawingml/2006/main">
                  <a:graphicData uri="http://schemas.microsoft.com/office/word/2010/wordprocessingShape">
                    <wps:wsp>
                      <wps:cNvSp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5pt;margin-top:2.8pt;height:0pt;width:459pt;z-index:251659264;mso-width-relative:page;mso-height-relative:page;" filled="f" stroked="t" coordsize="21600,21600" o:gfxdata="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rno9QAAAAH&#10;AQAADwAAAAAAAAABACAAAAAiAAAAZHJzL2Rvd25yZXYueG1sUEsBAhQAFAAAAAgAh07iQEeQ8+Dn&#10;AQAA2wMAAA4AAAAAAAAAAQAgAAAAIwEAAGRycy9lMm9Eb2MueG1sUEsFBgAAAAAGAAYAWQEAAHwF&#10;AAAAAA==&#10;">
                <v:fill on="f" focussize="0,0"/>
                <v:stroke color="#000000" joinstyle="round"/>
                <v:imagedata o:title=""/>
                <o:lock v:ext="edit" aspectratio="f"/>
              </v:line>
            </w:pict>
          </mc:Fallback>
        </mc:AlternateContent>
      </w:r>
      <w:r>
        <w:rPr>
          <w:rFonts w:hint="eastAsia" w:ascii="仿宋_GB2312" w:hAnsi="Times New Roman" w:eastAsia="仿宋_GB2312" w:cs="Times New Roman"/>
          <w:kern w:val="0"/>
          <w:sz w:val="28"/>
          <w:szCs w:val="28"/>
        </w:rPr>
        <w:t>抄送：福建省教育厅思政处</w:t>
      </w:r>
    </w:p>
    <w:p>
      <w:pPr>
        <w:adjustRightInd w:val="0"/>
        <w:snapToGrid w:val="0"/>
        <w:spacing w:line="600" w:lineRule="exact"/>
        <w:ind w:left="839" w:leftChars="-35" w:right="-199" w:rightChars="-95" w:hanging="912" w:hangingChars="326"/>
        <w:jc w:val="left"/>
        <w:rPr>
          <w:rFonts w:ascii="黑体" w:hAnsi="黑体" w:eastAsia="黑体" w:cs="Times New Roman"/>
          <w:bCs/>
          <w:sz w:val="32"/>
          <w:szCs w:val="32"/>
        </w:rPr>
      </w:pPr>
      <w:r>
        <w:rPr>
          <w:rFonts w:ascii="仿宋_GB2312" w:hAnsi="Times New Roman" w:eastAsia="仿宋_GB2312"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378460</wp:posOffset>
                </wp:positionV>
                <wp:extent cx="5867400" cy="0"/>
                <wp:effectExtent l="0" t="5080" r="0" b="4445"/>
                <wp:wrapNone/>
                <wp:docPr id="3" name="直线 10"/>
                <wp:cNvGraphicFramePr/>
                <a:graphic xmlns:a="http://schemas.openxmlformats.org/drawingml/2006/main">
                  <a:graphicData uri="http://schemas.microsoft.com/office/word/2010/wordprocessingShape">
                    <wps:wsp>
                      <wps:cNvSpPr/>
                      <wps:spPr>
                        <a:xfrm>
                          <a:off x="0" y="0"/>
                          <a:ext cx="5867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5pt;margin-top:29.8pt;height:0pt;width:462pt;z-index:251660288;mso-width-relative:page;mso-height-relative:page;" filled="f" stroked="t" coordsize="21600,21600" o:gfxdata="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D4BWdcA&#10;AAAJAQAADwAAAAAAAAABACAAAAAiAAAAZHJzL2Rvd25yZXYueG1sUEsBAhQAFAAAAAgAh07iQO0V&#10;/9XnAQAA3AMAAA4AAAAAAAAAAQAgAAAAJgEAAGRycy9lMm9Eb2MueG1sUEsFBgAAAAAGAAYAWQEA&#10;AH8FAAAAAA==&#10;">
                <v:fill on="f" focussize="0,0"/>
                <v:stroke color="#000000" joinstyle="round"/>
                <v:imagedata o:title=""/>
                <o:lock v:ext="edit" aspectratio="f"/>
              </v:line>
            </w:pict>
          </mc:Fallback>
        </mc:AlternateContent>
      </w:r>
      <w:r>
        <w:rPr>
          <w:rFonts w:ascii="仿宋_GB2312" w:hAnsi="Times New Roman" w:eastAsia="仿宋_GB2312" w:cs="Times New Roman"/>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33020</wp:posOffset>
                </wp:positionV>
                <wp:extent cx="5829300" cy="0"/>
                <wp:effectExtent l="0" t="4445" r="0" b="5080"/>
                <wp:wrapNone/>
                <wp:docPr id="4" name="直线 11"/>
                <wp:cNvGraphicFramePr/>
                <a:graphic xmlns:a="http://schemas.openxmlformats.org/drawingml/2006/main">
                  <a:graphicData uri="http://schemas.microsoft.com/office/word/2010/wordprocessingShape">
                    <wps:wsp>
                      <wps:cNvSp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15pt;margin-top:2.6pt;height:0pt;width:459pt;z-index:251661312;mso-width-relative:page;mso-height-relative:page;" filled="f" stroked="t" coordsize="21600,21600" o:gfxdata="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kFcLUAAAA&#10;BwEAAA8AAAAAAAAAAQAgAAAAIgAAAGRycy9kb3ducmV2LnhtbFBLAQIUABQAAAAIAIdO4kAO/tFg&#10;6AEAANw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Times New Roman" w:eastAsia="仿宋_GB2312" w:cs="Times New Roman"/>
          <w:kern w:val="0"/>
          <w:sz w:val="28"/>
          <w:szCs w:val="28"/>
        </w:rPr>
        <w:t>泉州市教育科学研究所                       2021年10月13日印发</w:t>
      </w:r>
    </w:p>
    <w:p>
      <w:pPr>
        <w:spacing w:line="600" w:lineRule="exact"/>
        <w:rPr>
          <w:rFonts w:ascii="黑体" w:hAnsi="黑体" w:eastAsia="黑体" w:cs="Times New Roman"/>
          <w:bCs/>
          <w:sz w:val="32"/>
          <w:szCs w:val="32"/>
        </w:rPr>
      </w:pPr>
    </w:p>
    <w:p>
      <w:pPr>
        <w:spacing w:line="360" w:lineRule="auto"/>
        <w:ind w:firstLine="640" w:firstLineChars="200"/>
        <w:jc w:val="left"/>
        <w:rPr>
          <w:rFonts w:hint="eastAsia" w:ascii="黑体" w:hAnsi="黑体" w:eastAsia="黑体" w:cs="Times New Roman"/>
          <w:bCs/>
          <w:sz w:val="32"/>
          <w:szCs w:val="32"/>
        </w:rPr>
      </w:pPr>
      <w:r>
        <w:rPr>
          <w:rFonts w:hint="eastAsia" w:ascii="黑体" w:hAnsi="黑体" w:eastAsia="黑体" w:cs="Times New Roman"/>
          <w:bCs/>
          <w:sz w:val="32"/>
          <w:szCs w:val="32"/>
        </w:rPr>
        <w:t>附件1:</w:t>
      </w:r>
    </w:p>
    <w:p>
      <w:pPr>
        <w:spacing w:line="360" w:lineRule="auto"/>
        <w:ind w:firstLine="643" w:firstLineChars="200"/>
        <w:jc w:val="center"/>
        <w:rPr>
          <w:rFonts w:hint="eastAsia" w:ascii="仿宋_GB2312" w:hAnsi="宋体" w:eastAsia="仿宋_GB2312"/>
          <w:b/>
          <w:sz w:val="32"/>
          <w:szCs w:val="32"/>
        </w:rPr>
      </w:pPr>
      <w:r>
        <w:rPr>
          <w:rFonts w:hint="eastAsia" w:ascii="仿宋_GB2312" w:hAnsi="Times New Roman" w:eastAsia="仿宋_GB2312" w:cs="Times New Roman"/>
          <w:b/>
          <w:bCs/>
          <w:sz w:val="32"/>
          <w:szCs w:val="32"/>
        </w:rPr>
        <w:t>《习近平新时代中国特色社会主义思想学生读本》暨思政课一体化建设研训活动</w:t>
      </w:r>
      <w:r>
        <w:rPr>
          <w:rFonts w:hint="eastAsia" w:ascii="仿宋_GB2312" w:hAnsi="宋体" w:eastAsia="仿宋_GB2312"/>
          <w:b/>
          <w:sz w:val="32"/>
          <w:szCs w:val="32"/>
        </w:rPr>
        <w:t>回执单</w:t>
      </w:r>
    </w:p>
    <w:tbl>
      <w:tblPr>
        <w:tblStyle w:val="10"/>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877"/>
        <w:gridCol w:w="367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8" w:type="dxa"/>
            <w:vAlign w:val="center"/>
          </w:tcPr>
          <w:p>
            <w:pPr>
              <w:spacing w:line="620" w:lineRule="exact"/>
              <w:jc w:val="center"/>
              <w:rPr>
                <w:rFonts w:ascii="仿宋_GB2312" w:eastAsia="仿宋_GB2312"/>
                <w:sz w:val="32"/>
                <w:szCs w:val="32"/>
              </w:rPr>
            </w:pPr>
            <w:r>
              <w:rPr>
                <w:rFonts w:hint="eastAsia" w:ascii="仿宋_GB2312" w:eastAsia="仿宋_GB2312"/>
                <w:sz w:val="32"/>
                <w:szCs w:val="32"/>
              </w:rPr>
              <w:t>姓名</w:t>
            </w:r>
          </w:p>
        </w:tc>
        <w:tc>
          <w:tcPr>
            <w:tcW w:w="1877" w:type="dxa"/>
            <w:vAlign w:val="center"/>
          </w:tcPr>
          <w:p>
            <w:pPr>
              <w:spacing w:line="620" w:lineRule="exact"/>
              <w:jc w:val="center"/>
              <w:rPr>
                <w:rFonts w:hint="eastAsia" w:ascii="仿宋_GB2312" w:eastAsia="仿宋_GB2312"/>
                <w:sz w:val="32"/>
                <w:szCs w:val="32"/>
                <w:lang w:eastAsia="zh-CN"/>
              </w:rPr>
            </w:pPr>
            <w:r>
              <w:rPr>
                <w:rFonts w:hint="eastAsia" w:ascii="仿宋_GB2312" w:eastAsia="仿宋_GB2312"/>
                <w:sz w:val="32"/>
                <w:szCs w:val="32"/>
                <w:lang w:eastAsia="zh-CN"/>
              </w:rPr>
              <w:t>性别</w:t>
            </w:r>
          </w:p>
        </w:tc>
        <w:tc>
          <w:tcPr>
            <w:tcW w:w="3675" w:type="dxa"/>
          </w:tcPr>
          <w:p>
            <w:pPr>
              <w:spacing w:line="620" w:lineRule="exact"/>
              <w:jc w:val="center"/>
              <w:rPr>
                <w:rFonts w:hint="eastAsia" w:ascii="仿宋_GB2312" w:eastAsia="仿宋_GB2312"/>
                <w:sz w:val="32"/>
                <w:szCs w:val="32"/>
              </w:rPr>
            </w:pPr>
            <w:r>
              <w:rPr>
                <w:rFonts w:hint="eastAsia" w:ascii="仿宋_GB2312" w:eastAsia="仿宋_GB2312"/>
                <w:sz w:val="32"/>
                <w:szCs w:val="32"/>
              </w:rPr>
              <w:t>单位</w:t>
            </w:r>
          </w:p>
        </w:tc>
        <w:tc>
          <w:tcPr>
            <w:tcW w:w="2010" w:type="dxa"/>
          </w:tcPr>
          <w:p>
            <w:pPr>
              <w:spacing w:line="620" w:lineRule="exact"/>
              <w:jc w:val="center"/>
              <w:rPr>
                <w:rFonts w:ascii="仿宋_GB2312" w:eastAsia="仿宋_GB2312"/>
                <w:sz w:val="32"/>
                <w:szCs w:val="32"/>
              </w:rPr>
            </w:pPr>
            <w:r>
              <w:rPr>
                <w:rFonts w:hint="eastAsia" w:ascii="仿宋_GB2312" w:eastAsia="仿宋_GB2312"/>
                <w:sz w:val="32"/>
                <w:szCs w:val="32"/>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8" w:type="dxa"/>
            <w:vAlign w:val="center"/>
          </w:tcPr>
          <w:p>
            <w:pPr>
              <w:spacing w:line="620" w:lineRule="exact"/>
              <w:jc w:val="center"/>
              <w:rPr>
                <w:rFonts w:ascii="仿宋_GB2312" w:eastAsia="仿宋_GB2312"/>
                <w:sz w:val="28"/>
                <w:szCs w:val="28"/>
              </w:rPr>
            </w:pPr>
          </w:p>
        </w:tc>
        <w:tc>
          <w:tcPr>
            <w:tcW w:w="1877" w:type="dxa"/>
            <w:vAlign w:val="center"/>
          </w:tcPr>
          <w:p>
            <w:pPr>
              <w:spacing w:line="620" w:lineRule="exact"/>
              <w:jc w:val="center"/>
              <w:rPr>
                <w:rFonts w:ascii="仿宋_GB2312" w:eastAsia="仿宋_GB2312"/>
                <w:sz w:val="28"/>
                <w:szCs w:val="28"/>
              </w:rPr>
            </w:pPr>
          </w:p>
        </w:tc>
        <w:tc>
          <w:tcPr>
            <w:tcW w:w="3675" w:type="dxa"/>
          </w:tcPr>
          <w:p>
            <w:pPr>
              <w:spacing w:line="620" w:lineRule="exact"/>
              <w:jc w:val="center"/>
              <w:rPr>
                <w:rFonts w:ascii="仿宋_GB2312" w:eastAsia="仿宋_GB2312"/>
                <w:sz w:val="28"/>
                <w:szCs w:val="28"/>
              </w:rPr>
            </w:pPr>
          </w:p>
        </w:tc>
        <w:tc>
          <w:tcPr>
            <w:tcW w:w="2010" w:type="dxa"/>
          </w:tcPr>
          <w:p>
            <w:pPr>
              <w:spacing w:line="6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8" w:type="dxa"/>
            <w:vAlign w:val="center"/>
          </w:tcPr>
          <w:p>
            <w:pPr>
              <w:spacing w:line="620" w:lineRule="exact"/>
              <w:jc w:val="center"/>
              <w:rPr>
                <w:rFonts w:ascii="仿宋_GB2312" w:hAnsi="Times New Roman" w:eastAsia="仿宋_GB2312" w:cs="Times New Roman"/>
                <w:bCs/>
                <w:sz w:val="28"/>
                <w:szCs w:val="28"/>
              </w:rPr>
            </w:pPr>
          </w:p>
        </w:tc>
        <w:tc>
          <w:tcPr>
            <w:tcW w:w="1877" w:type="dxa"/>
            <w:vAlign w:val="center"/>
          </w:tcPr>
          <w:p>
            <w:pPr>
              <w:spacing w:line="620" w:lineRule="exact"/>
              <w:jc w:val="center"/>
              <w:rPr>
                <w:rFonts w:ascii="仿宋_GB2312" w:eastAsia="仿宋_GB2312"/>
                <w:sz w:val="28"/>
                <w:szCs w:val="28"/>
              </w:rPr>
            </w:pPr>
          </w:p>
        </w:tc>
        <w:tc>
          <w:tcPr>
            <w:tcW w:w="3675" w:type="dxa"/>
          </w:tcPr>
          <w:p>
            <w:pPr>
              <w:spacing w:line="620" w:lineRule="exact"/>
              <w:jc w:val="center"/>
              <w:rPr>
                <w:rFonts w:ascii="仿宋_GB2312" w:eastAsia="仿宋_GB2312"/>
                <w:sz w:val="28"/>
                <w:szCs w:val="28"/>
              </w:rPr>
            </w:pPr>
          </w:p>
        </w:tc>
        <w:tc>
          <w:tcPr>
            <w:tcW w:w="2010" w:type="dxa"/>
          </w:tcPr>
          <w:p>
            <w:pPr>
              <w:spacing w:line="620" w:lineRule="exact"/>
              <w:jc w:val="center"/>
              <w:rPr>
                <w:rFonts w:ascii="仿宋_GB2312" w:eastAsia="仿宋_GB2312"/>
                <w:sz w:val="28"/>
                <w:szCs w:val="28"/>
              </w:rPr>
            </w:pPr>
          </w:p>
        </w:tc>
      </w:tr>
    </w:tbl>
    <w:p>
      <w:pPr>
        <w:spacing w:line="360" w:lineRule="auto"/>
        <w:rPr>
          <w:rFonts w:ascii="仿宋_GB2312" w:hAnsi="宋体"/>
          <w:szCs w:val="32"/>
        </w:rPr>
      </w:pPr>
    </w:p>
    <w:p>
      <w:pPr>
        <w:spacing w:line="360" w:lineRule="auto"/>
        <w:ind w:firstLine="420" w:firstLineChars="200"/>
        <w:rPr>
          <w:rFonts w:ascii="仿宋_GB2312" w:hAnsi="宋体"/>
          <w:szCs w:val="32"/>
        </w:rPr>
      </w:pPr>
    </w:p>
    <w:p>
      <w:pPr>
        <w:spacing w:line="360" w:lineRule="auto"/>
        <w:ind w:firstLine="420" w:firstLineChars="200"/>
        <w:rPr>
          <w:rFonts w:ascii="仿宋_GB2312" w:hAnsi="宋体"/>
          <w:szCs w:val="32"/>
        </w:rPr>
      </w:pPr>
    </w:p>
    <w:p>
      <w:pPr>
        <w:spacing w:line="600" w:lineRule="exact"/>
        <w:rPr>
          <w:rFonts w:hint="eastAsia" w:ascii="黑体" w:hAnsi="黑体" w:eastAsia="黑体" w:cs="Times New Roman"/>
          <w:bCs/>
          <w:sz w:val="32"/>
          <w:szCs w:val="32"/>
          <w:lang w:eastAsia="zh-CN"/>
        </w:rPr>
      </w:pPr>
      <w:r>
        <w:rPr>
          <w:rFonts w:hint="eastAsia" w:ascii="黑体" w:hAnsi="黑体" w:eastAsia="黑体" w:cs="Times New Roman"/>
          <w:bCs/>
          <w:sz w:val="32"/>
          <w:szCs w:val="32"/>
        </w:rPr>
        <w:t>附件2</w:t>
      </w:r>
      <w:r>
        <w:rPr>
          <w:rFonts w:hint="eastAsia" w:ascii="黑体" w:hAnsi="黑体" w:eastAsia="黑体" w:cs="Times New Roman"/>
          <w:bCs/>
          <w:sz w:val="32"/>
          <w:szCs w:val="32"/>
          <w:lang w:eastAsia="zh-CN"/>
        </w:rPr>
        <w:t>：</w:t>
      </w:r>
    </w:p>
    <w:p>
      <w:pPr>
        <w:spacing w:line="600" w:lineRule="exact"/>
        <w:rPr>
          <w:rFonts w:ascii="黑体" w:hAnsi="黑体" w:eastAsia="黑体" w:cs="Times New Roman"/>
          <w:bCs/>
          <w:sz w:val="32"/>
          <w:szCs w:val="32"/>
        </w:rPr>
      </w:pPr>
      <w:r>
        <w:rPr>
          <w:rFonts w:hint="eastAsia" w:ascii="黑体" w:hAnsi="黑体" w:eastAsia="黑体" w:cs="Times New Roman"/>
          <w:bCs/>
          <w:sz w:val="32"/>
          <w:szCs w:val="32"/>
        </w:rPr>
        <w:t>线上培训钉群</w:t>
      </w:r>
    </w:p>
    <w:p>
      <w:pPr>
        <w:rPr>
          <w:rFonts w:hint="eastAsia" w:ascii="黑体" w:hAnsi="黑体" w:eastAsia="黑体" w:cs="Times New Roman"/>
          <w:bCs/>
          <w:sz w:val="32"/>
          <w:szCs w:val="32"/>
          <w:lang w:eastAsia="zh-CN"/>
        </w:rPr>
      </w:pPr>
      <w:r>
        <w:rPr>
          <w:rFonts w:hint="eastAsia" w:ascii="黑体" w:hAnsi="黑体" w:eastAsia="黑体" w:cs="Times New Roman"/>
          <w:bCs/>
          <w:sz w:val="32"/>
          <w:szCs w:val="32"/>
          <w:lang w:eastAsia="zh-CN"/>
        </w:rPr>
        <w:drawing>
          <wp:inline distT="0" distB="0" distL="114300" distR="114300">
            <wp:extent cx="1585595" cy="2183130"/>
            <wp:effectExtent l="0" t="0" r="14605" b="7620"/>
            <wp:docPr id="1" name="图片 1" descr="26y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yith"/>
                    <pic:cNvPicPr>
                      <a:picLocks noChangeAspect="1"/>
                    </pic:cNvPicPr>
                  </pic:nvPicPr>
                  <pic:blipFill>
                    <a:blip r:embed="rId6"/>
                    <a:stretch>
                      <a:fillRect/>
                    </a:stretch>
                  </pic:blipFill>
                  <pic:spPr>
                    <a:xfrm>
                      <a:off x="0" y="0"/>
                      <a:ext cx="1585595" cy="2183130"/>
                    </a:xfrm>
                    <a:prstGeom prst="rect">
                      <a:avLst/>
                    </a:prstGeom>
                  </pic:spPr>
                </pic:pic>
              </a:graphicData>
            </a:graphic>
          </wp:inline>
        </w:drawing>
      </w:r>
    </w:p>
    <w:sectPr>
      <w:footerReference r:id="rId3" w:type="default"/>
      <w:footerReference r:id="rId4" w:type="even"/>
      <w:pgSz w:w="11906" w:h="16838"/>
      <w:pgMar w:top="1440" w:right="1531"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34638"/>
    </w:sdtPr>
    <w:sdtEndPr>
      <w:rPr>
        <w:rFonts w:asciiTheme="minorEastAsia" w:hAnsiTheme="minorEastAsia"/>
        <w:sz w:val="28"/>
        <w:szCs w:val="28"/>
      </w:rPr>
    </w:sdtEndPr>
    <w:sdtContent>
      <w:p>
        <w:pPr>
          <w:pStyle w:val="6"/>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34649"/>
    </w:sdtPr>
    <w:sdtContent>
      <w:p>
        <w:pPr>
          <w:pStyle w:val="6"/>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534DF"/>
    <w:rsid w:val="000314C0"/>
    <w:rsid w:val="00036465"/>
    <w:rsid w:val="000441EB"/>
    <w:rsid w:val="000516FE"/>
    <w:rsid w:val="00070F84"/>
    <w:rsid w:val="000A69E4"/>
    <w:rsid w:val="000B3C7A"/>
    <w:rsid w:val="000C12A6"/>
    <w:rsid w:val="000C1DAA"/>
    <w:rsid w:val="000C7CF1"/>
    <w:rsid w:val="000D2B0D"/>
    <w:rsid w:val="00135A8D"/>
    <w:rsid w:val="00140812"/>
    <w:rsid w:val="001454EF"/>
    <w:rsid w:val="001611B7"/>
    <w:rsid w:val="00164DAF"/>
    <w:rsid w:val="00173BB8"/>
    <w:rsid w:val="0019375C"/>
    <w:rsid w:val="00197005"/>
    <w:rsid w:val="002210C6"/>
    <w:rsid w:val="00221E76"/>
    <w:rsid w:val="00226D8C"/>
    <w:rsid w:val="0023279F"/>
    <w:rsid w:val="002408DE"/>
    <w:rsid w:val="00271F83"/>
    <w:rsid w:val="002A7754"/>
    <w:rsid w:val="002C0E73"/>
    <w:rsid w:val="002F48A0"/>
    <w:rsid w:val="002F6ACA"/>
    <w:rsid w:val="00312061"/>
    <w:rsid w:val="00313B5E"/>
    <w:rsid w:val="003258F1"/>
    <w:rsid w:val="00325D72"/>
    <w:rsid w:val="00360DC7"/>
    <w:rsid w:val="003907A8"/>
    <w:rsid w:val="00396BD6"/>
    <w:rsid w:val="003A2C41"/>
    <w:rsid w:val="003E7E71"/>
    <w:rsid w:val="003F5E4C"/>
    <w:rsid w:val="00400011"/>
    <w:rsid w:val="00420BA3"/>
    <w:rsid w:val="00420FC5"/>
    <w:rsid w:val="00436BB7"/>
    <w:rsid w:val="004441B8"/>
    <w:rsid w:val="004529A3"/>
    <w:rsid w:val="00453FD5"/>
    <w:rsid w:val="0047136D"/>
    <w:rsid w:val="004B56BE"/>
    <w:rsid w:val="004E4811"/>
    <w:rsid w:val="00513186"/>
    <w:rsid w:val="00526695"/>
    <w:rsid w:val="005362C3"/>
    <w:rsid w:val="005718BD"/>
    <w:rsid w:val="005B4576"/>
    <w:rsid w:val="005B66DA"/>
    <w:rsid w:val="005C419D"/>
    <w:rsid w:val="005D6753"/>
    <w:rsid w:val="00601323"/>
    <w:rsid w:val="00617999"/>
    <w:rsid w:val="0062288D"/>
    <w:rsid w:val="00647936"/>
    <w:rsid w:val="00697BFF"/>
    <w:rsid w:val="006B5FB7"/>
    <w:rsid w:val="006D1396"/>
    <w:rsid w:val="006F349D"/>
    <w:rsid w:val="007008B0"/>
    <w:rsid w:val="00714632"/>
    <w:rsid w:val="00796F10"/>
    <w:rsid w:val="007A7EEC"/>
    <w:rsid w:val="00800A7D"/>
    <w:rsid w:val="00803548"/>
    <w:rsid w:val="00807202"/>
    <w:rsid w:val="008151CC"/>
    <w:rsid w:val="0083666E"/>
    <w:rsid w:val="00836B98"/>
    <w:rsid w:val="00854BF2"/>
    <w:rsid w:val="00865C23"/>
    <w:rsid w:val="00884730"/>
    <w:rsid w:val="00896553"/>
    <w:rsid w:val="008B69B2"/>
    <w:rsid w:val="008B7440"/>
    <w:rsid w:val="008D15CC"/>
    <w:rsid w:val="008E143B"/>
    <w:rsid w:val="008E46AF"/>
    <w:rsid w:val="008E6F58"/>
    <w:rsid w:val="00916054"/>
    <w:rsid w:val="0097014B"/>
    <w:rsid w:val="00977C2D"/>
    <w:rsid w:val="009A15A1"/>
    <w:rsid w:val="009B1BDB"/>
    <w:rsid w:val="009B7644"/>
    <w:rsid w:val="009C1DE0"/>
    <w:rsid w:val="009D0A5E"/>
    <w:rsid w:val="009E0747"/>
    <w:rsid w:val="00A0773F"/>
    <w:rsid w:val="00A11188"/>
    <w:rsid w:val="00A13C8C"/>
    <w:rsid w:val="00A45A38"/>
    <w:rsid w:val="00A8589B"/>
    <w:rsid w:val="00A9108A"/>
    <w:rsid w:val="00AA3EF6"/>
    <w:rsid w:val="00AC4B1C"/>
    <w:rsid w:val="00AC688F"/>
    <w:rsid w:val="00B03966"/>
    <w:rsid w:val="00B15489"/>
    <w:rsid w:val="00B579C4"/>
    <w:rsid w:val="00B91714"/>
    <w:rsid w:val="00BA07D3"/>
    <w:rsid w:val="00BA3517"/>
    <w:rsid w:val="00BC10E0"/>
    <w:rsid w:val="00BC298F"/>
    <w:rsid w:val="00BC70C3"/>
    <w:rsid w:val="00C04D0A"/>
    <w:rsid w:val="00C05CF0"/>
    <w:rsid w:val="00C561CD"/>
    <w:rsid w:val="00C773CE"/>
    <w:rsid w:val="00CB0DBA"/>
    <w:rsid w:val="00CC3040"/>
    <w:rsid w:val="00CC5D26"/>
    <w:rsid w:val="00CD1E6A"/>
    <w:rsid w:val="00CD3AC1"/>
    <w:rsid w:val="00CD7AC2"/>
    <w:rsid w:val="00CE3CCB"/>
    <w:rsid w:val="00D002E7"/>
    <w:rsid w:val="00D4168F"/>
    <w:rsid w:val="00DB1FAE"/>
    <w:rsid w:val="00DC1DCD"/>
    <w:rsid w:val="00DD7F7C"/>
    <w:rsid w:val="00DE3B5F"/>
    <w:rsid w:val="00DE4DF4"/>
    <w:rsid w:val="00E2000E"/>
    <w:rsid w:val="00E84D9E"/>
    <w:rsid w:val="00EA040D"/>
    <w:rsid w:val="00EF2A3A"/>
    <w:rsid w:val="00EF3FB2"/>
    <w:rsid w:val="00F14022"/>
    <w:rsid w:val="00F40362"/>
    <w:rsid w:val="00F40D0A"/>
    <w:rsid w:val="00F62AC8"/>
    <w:rsid w:val="00F94EE7"/>
    <w:rsid w:val="00FE04C5"/>
    <w:rsid w:val="00FF10A2"/>
    <w:rsid w:val="013B25FC"/>
    <w:rsid w:val="01EF5D28"/>
    <w:rsid w:val="02260BF0"/>
    <w:rsid w:val="02BE72F6"/>
    <w:rsid w:val="030C4903"/>
    <w:rsid w:val="037D360B"/>
    <w:rsid w:val="038D0208"/>
    <w:rsid w:val="03F10F7B"/>
    <w:rsid w:val="05A972F0"/>
    <w:rsid w:val="05EB5896"/>
    <w:rsid w:val="063F3233"/>
    <w:rsid w:val="06720AAF"/>
    <w:rsid w:val="083018B1"/>
    <w:rsid w:val="085F1CBD"/>
    <w:rsid w:val="088D448A"/>
    <w:rsid w:val="08B23EE6"/>
    <w:rsid w:val="094C1C9E"/>
    <w:rsid w:val="0AD27CB5"/>
    <w:rsid w:val="0C4975CA"/>
    <w:rsid w:val="0DD720AB"/>
    <w:rsid w:val="11C07B5C"/>
    <w:rsid w:val="12122767"/>
    <w:rsid w:val="126D62FB"/>
    <w:rsid w:val="135F61A2"/>
    <w:rsid w:val="1371593D"/>
    <w:rsid w:val="14376D88"/>
    <w:rsid w:val="147B494B"/>
    <w:rsid w:val="150924CD"/>
    <w:rsid w:val="16621DCE"/>
    <w:rsid w:val="18AF78F9"/>
    <w:rsid w:val="19195861"/>
    <w:rsid w:val="19ED7636"/>
    <w:rsid w:val="1A0B4D9B"/>
    <w:rsid w:val="1BF9213C"/>
    <w:rsid w:val="1D906CA4"/>
    <w:rsid w:val="20E76773"/>
    <w:rsid w:val="213135C8"/>
    <w:rsid w:val="21A7283F"/>
    <w:rsid w:val="21B9299E"/>
    <w:rsid w:val="22212A89"/>
    <w:rsid w:val="2325735E"/>
    <w:rsid w:val="24F12216"/>
    <w:rsid w:val="27064039"/>
    <w:rsid w:val="2772200B"/>
    <w:rsid w:val="278A53E2"/>
    <w:rsid w:val="2C835A92"/>
    <w:rsid w:val="2D1046D7"/>
    <w:rsid w:val="2F646F6E"/>
    <w:rsid w:val="2F9A05F1"/>
    <w:rsid w:val="314C19A5"/>
    <w:rsid w:val="316F6B24"/>
    <w:rsid w:val="318E6D39"/>
    <w:rsid w:val="32622CC9"/>
    <w:rsid w:val="33287C8F"/>
    <w:rsid w:val="348665FE"/>
    <w:rsid w:val="36637159"/>
    <w:rsid w:val="366B414C"/>
    <w:rsid w:val="390856C7"/>
    <w:rsid w:val="39B41DED"/>
    <w:rsid w:val="3A8F286F"/>
    <w:rsid w:val="3B5103C4"/>
    <w:rsid w:val="3B6F0979"/>
    <w:rsid w:val="3D9D6F87"/>
    <w:rsid w:val="3F980264"/>
    <w:rsid w:val="3FB0144F"/>
    <w:rsid w:val="40912FD5"/>
    <w:rsid w:val="42E10C8E"/>
    <w:rsid w:val="43000743"/>
    <w:rsid w:val="43E74E8E"/>
    <w:rsid w:val="440423F1"/>
    <w:rsid w:val="448D0EA1"/>
    <w:rsid w:val="46A6644E"/>
    <w:rsid w:val="47D30391"/>
    <w:rsid w:val="48592D2D"/>
    <w:rsid w:val="4A183F18"/>
    <w:rsid w:val="4B7254E7"/>
    <w:rsid w:val="4BF50663"/>
    <w:rsid w:val="4DF6352A"/>
    <w:rsid w:val="4EAA6005"/>
    <w:rsid w:val="4F846045"/>
    <w:rsid w:val="508C1148"/>
    <w:rsid w:val="5362194F"/>
    <w:rsid w:val="541A5538"/>
    <w:rsid w:val="545534DF"/>
    <w:rsid w:val="545D3B52"/>
    <w:rsid w:val="548237BF"/>
    <w:rsid w:val="561F4987"/>
    <w:rsid w:val="577D13E7"/>
    <w:rsid w:val="58757E83"/>
    <w:rsid w:val="58B6151F"/>
    <w:rsid w:val="595622B5"/>
    <w:rsid w:val="59F8143D"/>
    <w:rsid w:val="5B5935CC"/>
    <w:rsid w:val="5C2549B0"/>
    <w:rsid w:val="5D910A6B"/>
    <w:rsid w:val="5ED61424"/>
    <w:rsid w:val="5F8E1722"/>
    <w:rsid w:val="63147C7A"/>
    <w:rsid w:val="638E19EB"/>
    <w:rsid w:val="63F16683"/>
    <w:rsid w:val="641E7F26"/>
    <w:rsid w:val="670C5AD0"/>
    <w:rsid w:val="680061A0"/>
    <w:rsid w:val="68A03AE4"/>
    <w:rsid w:val="69C80D8D"/>
    <w:rsid w:val="6D806D93"/>
    <w:rsid w:val="6E604BD6"/>
    <w:rsid w:val="6E792CE8"/>
    <w:rsid w:val="6EEE0912"/>
    <w:rsid w:val="707E7FB3"/>
    <w:rsid w:val="70CD0B0B"/>
    <w:rsid w:val="715267E2"/>
    <w:rsid w:val="73751F09"/>
    <w:rsid w:val="74834A3A"/>
    <w:rsid w:val="75BC381B"/>
    <w:rsid w:val="76212C0C"/>
    <w:rsid w:val="779B250F"/>
    <w:rsid w:val="782F0324"/>
    <w:rsid w:val="78975FBC"/>
    <w:rsid w:val="7A5D6868"/>
    <w:rsid w:val="7BFE1087"/>
    <w:rsid w:val="7C506A94"/>
    <w:rsid w:val="7CC56CE9"/>
    <w:rsid w:val="7D9C4CE4"/>
    <w:rsid w:val="7E1E1B1C"/>
    <w:rsid w:val="7F355842"/>
    <w:rsid w:val="D5ED3DF1"/>
    <w:rsid w:val="FCEEE5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unhideWhenUsed/>
    <w:qFormat/>
    <w:uiPriority w:val="99"/>
    <w:pPr>
      <w:spacing w:after="120"/>
    </w:pPr>
  </w:style>
  <w:style w:type="paragraph" w:styleId="4">
    <w:name w:val="Body Text Indent"/>
    <w:basedOn w:val="1"/>
    <w:link w:val="18"/>
    <w:autoRedefine/>
    <w:qFormat/>
    <w:uiPriority w:val="0"/>
    <w:pPr>
      <w:spacing w:after="120"/>
      <w:ind w:left="420" w:leftChars="200"/>
    </w:pPr>
  </w:style>
  <w:style w:type="paragraph" w:styleId="5">
    <w:name w:val="Balloon Text"/>
    <w:basedOn w:val="1"/>
    <w:link w:val="16"/>
    <w:autoRedefine/>
    <w:qFormat/>
    <w:uiPriority w:val="0"/>
    <w:rPr>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autoRedefine/>
    <w:qFormat/>
    <w:uiPriority w:val="0"/>
    <w:pPr>
      <w:ind w:firstLine="420" w:firstLineChars="100"/>
    </w:pPr>
    <w:rPr>
      <w:rFonts w:ascii="Calibri" w:hAnsi="Calibri" w:eastAsia="宋体" w:cs="Times New Roman"/>
      <w:kern w:val="0"/>
      <w:sz w:val="20"/>
      <w:szCs w:val="20"/>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563C1" w:themeColor="hyperlink"/>
      <w:u w:val="single"/>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autoRedefine/>
    <w:qFormat/>
    <w:uiPriority w:val="99"/>
    <w:rPr>
      <w:kern w:val="2"/>
      <w:sz w:val="18"/>
      <w:szCs w:val="18"/>
    </w:rPr>
  </w:style>
  <w:style w:type="character" w:customStyle="1" w:styleId="16">
    <w:name w:val="批注框文本 Char"/>
    <w:basedOn w:val="11"/>
    <w:link w:val="5"/>
    <w:autoRedefine/>
    <w:qFormat/>
    <w:uiPriority w:val="0"/>
    <w:rPr>
      <w:rFonts w:asciiTheme="minorHAnsi" w:hAnsiTheme="minorHAnsi" w:eastAsiaTheme="minorEastAsia" w:cstheme="minorBidi"/>
      <w:kern w:val="2"/>
      <w:sz w:val="18"/>
      <w:szCs w:val="18"/>
    </w:rPr>
  </w:style>
  <w:style w:type="paragraph" w:styleId="17">
    <w:name w:val="List Paragraph"/>
    <w:basedOn w:val="1"/>
    <w:autoRedefine/>
    <w:unhideWhenUsed/>
    <w:qFormat/>
    <w:uiPriority w:val="99"/>
    <w:pPr>
      <w:ind w:firstLine="420" w:firstLineChars="200"/>
    </w:pPr>
  </w:style>
  <w:style w:type="character" w:customStyle="1" w:styleId="18">
    <w:name w:val="正文文本缩进 Char"/>
    <w:basedOn w:val="11"/>
    <w:link w:val="4"/>
    <w:autoRedefine/>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qzjyj</Company>
  <Pages>5</Pages>
  <Words>262</Words>
  <Characters>1494</Characters>
  <Lines>12</Lines>
  <Paragraphs>3</Paragraphs>
  <TotalTime>1</TotalTime>
  <ScaleCrop>false</ScaleCrop>
  <LinksUpToDate>false</LinksUpToDate>
  <CharactersWithSpaces>1753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2021-10-13T01:59:00Z</dcterms:created>
  <dc:creator>lenovo</dc:creator>
  <cp:lastModifiedBy>赤土岭</cp:lastModifiedBy>
  <cp:lastPrinted>2021-10-13T08:26:00Z</cp:lastPrinted>
  <dcterms:modified xsi:type="dcterms:W3CDTF">2024-05-11T02:41:10Z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15AA156858ED4B469756E8756CDB61FE_13</vt:lpwstr>
  </property>
</Properties>
</file>