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96"/>
        <w:gridCol w:w="1669"/>
        <w:gridCol w:w="2693"/>
        <w:gridCol w:w="1843"/>
        <w:gridCol w:w="1667"/>
      </w:tblGrid>
      <w:tr w14:paraId="3457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238C5E20">
            <w:pPr>
              <w:spacing w:line="360" w:lineRule="auto"/>
              <w:jc w:val="center"/>
              <w:rPr>
                <w:rFonts w:ascii="宋体" w:hAnsi="宋体"/>
                <w:b/>
                <w:sz w:val="24"/>
                <w:szCs w:val="24"/>
              </w:rPr>
            </w:pPr>
            <w:r>
              <w:rPr>
                <w:rFonts w:hint="eastAsia" w:ascii="宋体" w:hAnsi="宋体"/>
                <w:b/>
                <w:sz w:val="24"/>
                <w:szCs w:val="24"/>
              </w:rPr>
              <w:drawing>
                <wp:anchor distT="0" distB="0" distL="114300" distR="114300" simplePos="0" relativeHeight="251659264" behindDoc="0" locked="0" layoutInCell="1" allowOverlap="1">
                  <wp:simplePos x="0" y="0"/>
                  <wp:positionH relativeFrom="page">
                    <wp:posOffset>10185400</wp:posOffset>
                  </wp:positionH>
                  <wp:positionV relativeFrom="topMargin">
                    <wp:posOffset>12636500</wp:posOffset>
                  </wp:positionV>
                  <wp:extent cx="406400" cy="368300"/>
                  <wp:effectExtent l="0" t="0" r="12700" b="1270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0"/>
                          <a:stretch>
                            <a:fillRect/>
                          </a:stretch>
                        </pic:blipFill>
                        <pic:spPr>
                          <a:xfrm>
                            <a:off x="0" y="0"/>
                            <a:ext cx="406400" cy="368300"/>
                          </a:xfrm>
                          <a:prstGeom prst="rect">
                            <a:avLst/>
                          </a:prstGeom>
                        </pic:spPr>
                      </pic:pic>
                    </a:graphicData>
                  </a:graphic>
                </wp:anchor>
              </w:drawing>
            </w:r>
            <w:r>
              <w:rPr>
                <w:rFonts w:hint="eastAsia" w:ascii="宋体" w:hAnsi="宋体"/>
                <w:b/>
                <w:sz w:val="24"/>
                <w:szCs w:val="24"/>
              </w:rPr>
              <w:t>教学课题</w:t>
            </w:r>
          </w:p>
        </w:tc>
        <w:tc>
          <w:tcPr>
            <w:tcW w:w="4362" w:type="dxa"/>
            <w:gridSpan w:val="2"/>
            <w:tcBorders>
              <w:top w:val="single" w:color="auto" w:sz="4" w:space="0"/>
              <w:left w:val="single" w:color="auto" w:sz="4" w:space="0"/>
              <w:bottom w:val="single" w:color="auto" w:sz="4" w:space="0"/>
              <w:right w:val="single" w:color="auto" w:sz="4" w:space="0"/>
            </w:tcBorders>
            <w:noWrap w:val="0"/>
            <w:vAlign w:val="center"/>
          </w:tcPr>
          <w:p w14:paraId="7570C5F5">
            <w:pPr>
              <w:spacing w:line="360" w:lineRule="auto"/>
              <w:jc w:val="center"/>
              <w:rPr>
                <w:rFonts w:hint="eastAsia" w:ascii="宋体" w:hAnsi="宋体"/>
                <w:sz w:val="24"/>
                <w:szCs w:val="24"/>
              </w:rPr>
            </w:pPr>
            <w:r>
              <w:rPr>
                <w:rFonts w:hint="eastAsia" w:ascii="宋体" w:hAnsi="宋体"/>
                <w:sz w:val="24"/>
                <w:szCs w:val="24"/>
              </w:rPr>
              <w:t>第四讲 根本立场：坚持以人民为中心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CBEDFCE">
            <w:pPr>
              <w:spacing w:line="360" w:lineRule="auto"/>
              <w:jc w:val="center"/>
              <w:rPr>
                <w:rFonts w:ascii="宋体" w:hAnsi="宋体"/>
                <w:b/>
                <w:sz w:val="24"/>
                <w:szCs w:val="24"/>
              </w:rPr>
            </w:pPr>
            <w:r>
              <w:rPr>
                <w:rFonts w:hint="eastAsia" w:ascii="宋体" w:hAnsi="宋体"/>
                <w:b/>
                <w:sz w:val="24"/>
                <w:szCs w:val="24"/>
              </w:rPr>
              <w:t>教学学时</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44ACD6AE">
            <w:pPr>
              <w:spacing w:line="360" w:lineRule="auto"/>
              <w:jc w:val="center"/>
              <w:rPr>
                <w:rFonts w:hint="eastAsia" w:ascii="宋体" w:hAnsi="宋体"/>
                <w:sz w:val="24"/>
                <w:szCs w:val="24"/>
              </w:rPr>
            </w:pPr>
            <w:r>
              <w:rPr>
                <w:rFonts w:hint="eastAsia" w:ascii="宋体" w:hAnsi="宋体"/>
                <w:sz w:val="24"/>
                <w:szCs w:val="24"/>
              </w:rPr>
              <w:t>2学时</w:t>
            </w:r>
          </w:p>
        </w:tc>
      </w:tr>
      <w:tr w14:paraId="573D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682AFF1B">
            <w:pPr>
              <w:spacing w:line="360" w:lineRule="auto"/>
              <w:jc w:val="center"/>
              <w:rPr>
                <w:rFonts w:ascii="宋体" w:hAnsi="宋体"/>
                <w:b/>
                <w:sz w:val="24"/>
                <w:szCs w:val="24"/>
              </w:rPr>
            </w:pPr>
            <w:r>
              <w:rPr>
                <w:rFonts w:hint="eastAsia" w:ascii="宋体" w:hAnsi="宋体"/>
                <w:b/>
                <w:sz w:val="24"/>
                <w:szCs w:val="24"/>
              </w:rPr>
              <w:t>授课对象</w:t>
            </w:r>
          </w:p>
        </w:tc>
        <w:tc>
          <w:tcPr>
            <w:tcW w:w="4362" w:type="dxa"/>
            <w:gridSpan w:val="2"/>
            <w:tcBorders>
              <w:top w:val="single" w:color="auto" w:sz="4" w:space="0"/>
              <w:left w:val="single" w:color="auto" w:sz="4" w:space="0"/>
              <w:bottom w:val="single" w:color="auto" w:sz="4" w:space="0"/>
              <w:right w:val="single" w:color="auto" w:sz="4" w:space="0"/>
            </w:tcBorders>
            <w:noWrap w:val="0"/>
            <w:vAlign w:val="center"/>
          </w:tcPr>
          <w:p w14:paraId="01024024">
            <w:pPr>
              <w:spacing w:line="360" w:lineRule="auto"/>
              <w:jc w:val="center"/>
              <w:rPr>
                <w:rFonts w:hint="eastAsia" w:ascii="宋体" w:hAnsi="宋体"/>
                <w:bCs/>
                <w:sz w:val="24"/>
                <w:szCs w:val="24"/>
              </w:rPr>
            </w:pPr>
            <w:r>
              <w:rPr>
                <w:rFonts w:hint="eastAsia" w:ascii="宋体" w:hAnsi="宋体"/>
                <w:bCs/>
                <w:sz w:val="24"/>
                <w:szCs w:val="24"/>
                <w:lang w:eastAsia="zh-CN"/>
              </w:rPr>
              <w:t>高中</w:t>
            </w:r>
            <w:r>
              <w:rPr>
                <w:rFonts w:hint="eastAsia" w:ascii="宋体" w:hAnsi="宋体"/>
                <w:bCs/>
                <w:sz w:val="24"/>
                <w:szCs w:val="24"/>
              </w:rPr>
              <w:t>一年级</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9BD718B">
            <w:pPr>
              <w:spacing w:line="360" w:lineRule="auto"/>
              <w:jc w:val="center"/>
              <w:rPr>
                <w:rFonts w:hint="eastAsia" w:ascii="宋体" w:hAnsi="宋体"/>
                <w:b/>
                <w:sz w:val="24"/>
                <w:szCs w:val="24"/>
              </w:rPr>
            </w:pPr>
            <w:r>
              <w:rPr>
                <w:rFonts w:hint="eastAsia" w:ascii="宋体" w:hAnsi="宋体"/>
                <w:b/>
                <w:sz w:val="24"/>
                <w:szCs w:val="24"/>
              </w:rPr>
              <w:t>授课地点</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344AFA34">
            <w:pPr>
              <w:spacing w:line="360" w:lineRule="auto"/>
              <w:jc w:val="center"/>
              <w:rPr>
                <w:rFonts w:hint="eastAsia" w:ascii="宋体" w:hAnsi="宋体"/>
                <w:sz w:val="24"/>
                <w:szCs w:val="24"/>
              </w:rPr>
            </w:pPr>
            <w:r>
              <w:rPr>
                <w:rFonts w:hint="eastAsia" w:ascii="宋体" w:hAnsi="宋体"/>
                <w:sz w:val="24"/>
                <w:szCs w:val="24"/>
              </w:rPr>
              <w:t>教室</w:t>
            </w:r>
          </w:p>
        </w:tc>
      </w:tr>
      <w:tr w14:paraId="44F8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4E8AC688">
            <w:pPr>
              <w:spacing w:line="360" w:lineRule="auto"/>
              <w:jc w:val="center"/>
              <w:rPr>
                <w:rFonts w:ascii="宋体" w:hAnsi="宋体"/>
                <w:b/>
                <w:sz w:val="24"/>
                <w:szCs w:val="24"/>
              </w:rPr>
            </w:pPr>
            <w:r>
              <w:rPr>
                <w:rFonts w:hint="eastAsia" w:ascii="宋体" w:hAnsi="宋体"/>
                <w:b/>
                <w:sz w:val="24"/>
                <w:szCs w:val="24"/>
              </w:rPr>
              <w:t>授课课型</w:t>
            </w:r>
          </w:p>
        </w:tc>
        <w:tc>
          <w:tcPr>
            <w:tcW w:w="7872" w:type="dxa"/>
            <w:gridSpan w:val="4"/>
            <w:tcBorders>
              <w:top w:val="single" w:color="auto" w:sz="4" w:space="0"/>
              <w:left w:val="single" w:color="auto" w:sz="4" w:space="0"/>
              <w:bottom w:val="single" w:color="auto" w:sz="4" w:space="0"/>
              <w:right w:val="single" w:color="auto" w:sz="4" w:space="0"/>
            </w:tcBorders>
            <w:noWrap w:val="0"/>
            <w:vAlign w:val="center"/>
          </w:tcPr>
          <w:p w14:paraId="6430376D">
            <w:pPr>
              <w:spacing w:line="360" w:lineRule="auto"/>
              <w:jc w:val="center"/>
              <w:rPr>
                <w:rFonts w:hint="eastAsia" w:ascii="宋体" w:hAnsi="宋体"/>
                <w:sz w:val="24"/>
                <w:szCs w:val="24"/>
              </w:rPr>
            </w:pPr>
            <w:r>
              <w:rPr>
                <w:rFonts w:hint="eastAsia" w:ascii="宋体" w:hAnsi="宋体"/>
                <w:sz w:val="24"/>
                <w:szCs w:val="24"/>
              </w:rPr>
              <w:t>理论课</w:t>
            </w:r>
          </w:p>
        </w:tc>
      </w:tr>
      <w:tr w14:paraId="6CDF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57531FF1">
            <w:pPr>
              <w:spacing w:line="360" w:lineRule="auto"/>
              <w:jc w:val="center"/>
              <w:rPr>
                <w:rFonts w:ascii="宋体" w:hAnsi="宋体"/>
                <w:b/>
                <w:bCs/>
                <w:sz w:val="24"/>
                <w:szCs w:val="24"/>
              </w:rPr>
            </w:pPr>
            <w:r>
              <w:rPr>
                <w:rFonts w:hint="eastAsia" w:ascii="宋体" w:hAnsi="宋体"/>
                <w:b/>
                <w:bCs/>
                <w:sz w:val="24"/>
                <w:szCs w:val="24"/>
              </w:rPr>
              <w:t>学情分析</w:t>
            </w:r>
          </w:p>
        </w:tc>
        <w:tc>
          <w:tcPr>
            <w:tcW w:w="7872" w:type="dxa"/>
            <w:gridSpan w:val="4"/>
            <w:tcBorders>
              <w:top w:val="single" w:color="auto" w:sz="4" w:space="0"/>
              <w:left w:val="single" w:color="auto" w:sz="4" w:space="0"/>
              <w:bottom w:val="single" w:color="auto" w:sz="4" w:space="0"/>
              <w:right w:val="single" w:color="auto" w:sz="4" w:space="0"/>
            </w:tcBorders>
            <w:noWrap w:val="0"/>
            <w:vAlign w:val="center"/>
          </w:tcPr>
          <w:p w14:paraId="35CF3163">
            <w:pPr>
              <w:spacing w:line="360" w:lineRule="auto"/>
              <w:ind w:firstLine="480" w:firstLineChars="200"/>
              <w:rPr>
                <w:rFonts w:hint="eastAsia" w:ascii="宋体" w:hAnsi="宋体"/>
                <w:sz w:val="24"/>
                <w:szCs w:val="24"/>
              </w:rPr>
            </w:pPr>
            <w:r>
              <w:rPr>
                <w:rFonts w:hint="eastAsia" w:ascii="Calibri" w:hAnsi="Calibri"/>
                <w:sz w:val="24"/>
                <w:szCs w:val="24"/>
              </w:rPr>
              <w:t>初中阶段已经学习了中国共产党的性质、宗旨、地位等内容，在上一讲中，学习了党的领导相关的内容，这为本讲的学习奠定了基础。学生具备一定的抽象思维能力，能够根据教学案例及材料进行思考，推理分析。具备一定的信息搜集及处理能力，能够基于互联网进行信息搜集，并对所搜集到的信息进行加工整理。具备一定的团队协作能力，能够在课堂内和小组成员进行交流合作，完成小组活动任务。具备相应的实践能力，能够根据主题任务进行志愿服务。学生关心关注国家命运，喜欢通过视频、图片等信息化资源获取信息，喜欢情景化、活动化的学习方式。不喜欢照本宣科的教学方式，反感灌输说教。</w:t>
            </w:r>
          </w:p>
        </w:tc>
      </w:tr>
      <w:tr w14:paraId="6153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vMerge w:val="restart"/>
            <w:tcBorders>
              <w:top w:val="single" w:color="auto" w:sz="4" w:space="0"/>
              <w:left w:val="single" w:color="auto" w:sz="4" w:space="0"/>
              <w:right w:val="single" w:color="auto" w:sz="4" w:space="0"/>
            </w:tcBorders>
            <w:noWrap w:val="0"/>
            <w:vAlign w:val="center"/>
          </w:tcPr>
          <w:p w14:paraId="077913F1">
            <w:pPr>
              <w:spacing w:line="360" w:lineRule="auto"/>
              <w:jc w:val="center"/>
              <w:rPr>
                <w:rFonts w:hint="eastAsia" w:ascii="宋体" w:hAnsi="宋体"/>
                <w:b/>
                <w:sz w:val="24"/>
                <w:szCs w:val="24"/>
              </w:rPr>
            </w:pPr>
            <w:r>
              <w:rPr>
                <w:rFonts w:hint="eastAsia" w:ascii="宋体" w:hAnsi="宋体"/>
                <w:b/>
                <w:sz w:val="24"/>
                <w:szCs w:val="24"/>
              </w:rPr>
              <w:t>素养</w:t>
            </w:r>
          </w:p>
          <w:p w14:paraId="69D8E250">
            <w:pPr>
              <w:spacing w:line="360" w:lineRule="auto"/>
              <w:jc w:val="center"/>
              <w:rPr>
                <w:rFonts w:hint="eastAsia" w:ascii="宋体" w:hAnsi="宋体"/>
                <w:b/>
                <w:bCs/>
                <w:sz w:val="24"/>
                <w:szCs w:val="24"/>
              </w:rPr>
            </w:pPr>
            <w:r>
              <w:rPr>
                <w:rFonts w:hint="eastAsia" w:ascii="宋体" w:hAnsi="宋体"/>
                <w:b/>
                <w:sz w:val="24"/>
                <w:szCs w:val="24"/>
              </w:rPr>
              <w:t>目标</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4E962D3F">
            <w:pPr>
              <w:spacing w:line="360" w:lineRule="auto"/>
              <w:jc w:val="center"/>
              <w:rPr>
                <w:rFonts w:hint="eastAsia" w:ascii="宋体" w:hAnsi="宋体"/>
                <w:sz w:val="24"/>
                <w:szCs w:val="24"/>
              </w:rPr>
            </w:pPr>
            <w:r>
              <w:rPr>
                <w:rFonts w:hint="eastAsia" w:ascii="宋体" w:hAnsi="宋体"/>
                <w:sz w:val="24"/>
                <w:szCs w:val="24"/>
              </w:rPr>
              <w:t>政治认同</w:t>
            </w:r>
          </w:p>
        </w:tc>
        <w:tc>
          <w:tcPr>
            <w:tcW w:w="6203" w:type="dxa"/>
            <w:gridSpan w:val="3"/>
            <w:tcBorders>
              <w:top w:val="single" w:color="auto" w:sz="4" w:space="0"/>
              <w:left w:val="single" w:color="auto" w:sz="4" w:space="0"/>
              <w:bottom w:val="single" w:color="auto" w:sz="4" w:space="0"/>
              <w:right w:val="single" w:color="auto" w:sz="4" w:space="0"/>
            </w:tcBorders>
            <w:noWrap w:val="0"/>
            <w:vAlign w:val="center"/>
          </w:tcPr>
          <w:p w14:paraId="2F154BF1">
            <w:pPr>
              <w:spacing w:line="360" w:lineRule="auto"/>
              <w:rPr>
                <w:rFonts w:hint="eastAsia" w:ascii="宋体" w:hAnsi="宋体"/>
                <w:sz w:val="24"/>
                <w:szCs w:val="24"/>
              </w:rPr>
            </w:pPr>
            <w:r>
              <w:rPr>
                <w:rFonts w:hint="eastAsia" w:ascii="宋体" w:hAnsi="宋体"/>
                <w:sz w:val="24"/>
                <w:szCs w:val="24"/>
              </w:rPr>
              <w:t>深刻理解和领悟党的立场、宗旨和使命，坚定党的领导；树立人民至上的理念，形成依靠人民、为了人民、发展成果由人民共享的理念。</w:t>
            </w:r>
          </w:p>
        </w:tc>
      </w:tr>
      <w:tr w14:paraId="7304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vMerge w:val="continue"/>
            <w:tcBorders>
              <w:left w:val="single" w:color="auto" w:sz="4" w:space="0"/>
              <w:right w:val="single" w:color="auto" w:sz="4" w:space="0"/>
            </w:tcBorders>
            <w:noWrap w:val="0"/>
            <w:vAlign w:val="center"/>
          </w:tcPr>
          <w:p w14:paraId="6C5591B8">
            <w:pPr>
              <w:spacing w:line="360" w:lineRule="auto"/>
              <w:jc w:val="center"/>
              <w:rPr>
                <w:rFonts w:hint="eastAsia" w:ascii="宋体" w:hAnsi="宋体"/>
                <w:b/>
                <w:sz w:val="24"/>
                <w:szCs w:val="24"/>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14:paraId="4E3A4F8F">
            <w:pPr>
              <w:spacing w:line="360" w:lineRule="auto"/>
              <w:jc w:val="center"/>
              <w:rPr>
                <w:rFonts w:hint="eastAsia" w:ascii="宋体" w:hAnsi="宋体"/>
                <w:sz w:val="24"/>
                <w:szCs w:val="24"/>
              </w:rPr>
            </w:pPr>
            <w:r>
              <w:rPr>
                <w:rFonts w:hint="eastAsia" w:ascii="宋体" w:hAnsi="宋体"/>
                <w:sz w:val="24"/>
                <w:szCs w:val="24"/>
              </w:rPr>
              <w:t>公共参与</w:t>
            </w:r>
          </w:p>
        </w:tc>
        <w:tc>
          <w:tcPr>
            <w:tcW w:w="6203" w:type="dxa"/>
            <w:gridSpan w:val="3"/>
            <w:tcBorders>
              <w:top w:val="single" w:color="auto" w:sz="4" w:space="0"/>
              <w:left w:val="single" w:color="auto" w:sz="4" w:space="0"/>
              <w:bottom w:val="single" w:color="auto" w:sz="4" w:space="0"/>
              <w:right w:val="single" w:color="auto" w:sz="4" w:space="0"/>
            </w:tcBorders>
            <w:noWrap w:val="0"/>
            <w:vAlign w:val="center"/>
          </w:tcPr>
          <w:p w14:paraId="6C77C86A">
            <w:pPr>
              <w:spacing w:line="360" w:lineRule="auto"/>
              <w:rPr>
                <w:rFonts w:hint="eastAsia" w:ascii="宋体" w:hAnsi="宋体"/>
                <w:sz w:val="24"/>
                <w:szCs w:val="24"/>
              </w:rPr>
            </w:pPr>
            <w:r>
              <w:rPr>
                <w:rFonts w:hint="eastAsia" w:ascii="宋体" w:hAnsi="宋体"/>
                <w:sz w:val="24"/>
                <w:szCs w:val="24"/>
              </w:rPr>
              <w:t>收集分享抗击疫情、脱贫攻坚的实践成果，深入体会党的宗旨、使命和以人民为中心的思想，积极用自身行动参与到抗击疫情、巩固脱贫攻坚成果的实际行动中去。</w:t>
            </w:r>
          </w:p>
        </w:tc>
      </w:tr>
      <w:tr w14:paraId="47B7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vMerge w:val="continue"/>
            <w:tcBorders>
              <w:left w:val="single" w:color="auto" w:sz="4" w:space="0"/>
              <w:right w:val="single" w:color="auto" w:sz="4" w:space="0"/>
            </w:tcBorders>
            <w:noWrap w:val="0"/>
            <w:vAlign w:val="center"/>
          </w:tcPr>
          <w:p w14:paraId="44FCC05D">
            <w:pPr>
              <w:spacing w:line="360" w:lineRule="auto"/>
              <w:jc w:val="center"/>
              <w:rPr>
                <w:rFonts w:hint="eastAsia" w:ascii="宋体" w:hAnsi="宋体"/>
                <w:b/>
                <w:sz w:val="24"/>
                <w:szCs w:val="24"/>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14:paraId="2BC9966C">
            <w:pPr>
              <w:spacing w:line="360" w:lineRule="auto"/>
              <w:jc w:val="center"/>
              <w:rPr>
                <w:rFonts w:hint="eastAsia" w:ascii="宋体" w:hAnsi="宋体"/>
                <w:sz w:val="24"/>
                <w:szCs w:val="24"/>
              </w:rPr>
            </w:pPr>
            <w:r>
              <w:rPr>
                <w:rFonts w:hint="eastAsia" w:ascii="宋体" w:hAnsi="宋体"/>
                <w:sz w:val="24"/>
                <w:szCs w:val="24"/>
                <w:lang w:val="en-US" w:eastAsia="zh-CN"/>
              </w:rPr>
              <w:t>科学</w:t>
            </w:r>
            <w:bookmarkStart w:id="0" w:name="_GoBack"/>
            <w:bookmarkEnd w:id="0"/>
            <w:r>
              <w:rPr>
                <w:rFonts w:hint="eastAsia" w:ascii="宋体" w:hAnsi="宋体"/>
                <w:sz w:val="24"/>
                <w:szCs w:val="24"/>
              </w:rPr>
              <w:t>精神</w:t>
            </w:r>
          </w:p>
        </w:tc>
        <w:tc>
          <w:tcPr>
            <w:tcW w:w="6203" w:type="dxa"/>
            <w:gridSpan w:val="3"/>
            <w:tcBorders>
              <w:top w:val="single" w:color="auto" w:sz="4" w:space="0"/>
              <w:left w:val="single" w:color="auto" w:sz="4" w:space="0"/>
              <w:bottom w:val="single" w:color="auto" w:sz="4" w:space="0"/>
              <w:right w:val="single" w:color="auto" w:sz="4" w:space="0"/>
            </w:tcBorders>
            <w:noWrap w:val="0"/>
            <w:vAlign w:val="center"/>
          </w:tcPr>
          <w:p w14:paraId="2397A517">
            <w:pPr>
              <w:spacing w:line="360" w:lineRule="auto"/>
              <w:rPr>
                <w:rFonts w:hint="eastAsia" w:ascii="宋体" w:hAnsi="宋体"/>
                <w:sz w:val="24"/>
                <w:szCs w:val="24"/>
              </w:rPr>
            </w:pPr>
            <w:r>
              <w:rPr>
                <w:rFonts w:hint="eastAsia" w:ascii="宋体" w:hAnsi="宋体"/>
                <w:sz w:val="24"/>
                <w:szCs w:val="24"/>
              </w:rPr>
              <w:t>坚持人民立场，践行劳动精神、劳模精神，工匠精神，在为人民服务的实践中实现人生价值。</w:t>
            </w:r>
          </w:p>
        </w:tc>
      </w:tr>
      <w:tr w14:paraId="693A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0CBFEAD9">
            <w:pPr>
              <w:spacing w:line="360" w:lineRule="auto"/>
              <w:jc w:val="center"/>
              <w:rPr>
                <w:rFonts w:hint="eastAsia" w:ascii="宋体" w:hAnsi="宋体"/>
                <w:b/>
                <w:sz w:val="24"/>
                <w:szCs w:val="24"/>
              </w:rPr>
            </w:pPr>
            <w:r>
              <w:rPr>
                <w:rFonts w:hint="eastAsia" w:ascii="宋体" w:hAnsi="宋体"/>
                <w:b/>
                <w:bCs/>
                <w:sz w:val="24"/>
                <w:szCs w:val="24"/>
              </w:rPr>
              <w:t>教学重点</w:t>
            </w:r>
          </w:p>
        </w:tc>
        <w:tc>
          <w:tcPr>
            <w:tcW w:w="7872" w:type="dxa"/>
            <w:gridSpan w:val="4"/>
            <w:tcBorders>
              <w:top w:val="single" w:color="auto" w:sz="4" w:space="0"/>
              <w:left w:val="single" w:color="auto" w:sz="4" w:space="0"/>
              <w:bottom w:val="single" w:color="auto" w:sz="4" w:space="0"/>
              <w:right w:val="single" w:color="auto" w:sz="4" w:space="0"/>
            </w:tcBorders>
            <w:noWrap w:val="0"/>
            <w:vAlign w:val="center"/>
          </w:tcPr>
          <w:p w14:paraId="015B1502">
            <w:pPr>
              <w:widowControl/>
              <w:spacing w:line="360" w:lineRule="auto"/>
              <w:rPr>
                <w:rFonts w:hint="eastAsia" w:ascii="宋体" w:hAnsi="宋体"/>
                <w:sz w:val="24"/>
              </w:rPr>
            </w:pPr>
            <w:r>
              <w:rPr>
                <w:rFonts w:hint="eastAsia" w:ascii="宋体" w:hAnsi="宋体"/>
                <w:sz w:val="24"/>
              </w:rPr>
              <w:t>深刻理解以人民为中心的科学内涵和要求，培养政治认同。</w:t>
            </w:r>
          </w:p>
        </w:tc>
      </w:tr>
      <w:tr w14:paraId="009D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276756A5">
            <w:pPr>
              <w:spacing w:line="360" w:lineRule="auto"/>
              <w:jc w:val="center"/>
              <w:rPr>
                <w:rFonts w:ascii="宋体" w:hAnsi="宋体"/>
                <w:b/>
                <w:sz w:val="24"/>
                <w:szCs w:val="24"/>
              </w:rPr>
            </w:pPr>
            <w:r>
              <w:rPr>
                <w:rFonts w:hint="eastAsia" w:ascii="宋体" w:hAnsi="宋体"/>
                <w:b/>
                <w:bCs/>
                <w:sz w:val="24"/>
                <w:szCs w:val="24"/>
              </w:rPr>
              <w:t>教学难点</w:t>
            </w:r>
          </w:p>
        </w:tc>
        <w:tc>
          <w:tcPr>
            <w:tcW w:w="7872" w:type="dxa"/>
            <w:gridSpan w:val="4"/>
            <w:tcBorders>
              <w:top w:val="single" w:color="auto" w:sz="4" w:space="0"/>
              <w:left w:val="single" w:color="auto" w:sz="4" w:space="0"/>
              <w:bottom w:val="single" w:color="auto" w:sz="4" w:space="0"/>
              <w:right w:val="single" w:color="auto" w:sz="4" w:space="0"/>
            </w:tcBorders>
            <w:noWrap w:val="0"/>
            <w:vAlign w:val="center"/>
          </w:tcPr>
          <w:p w14:paraId="68968DB1">
            <w:pPr>
              <w:spacing w:line="360" w:lineRule="auto"/>
              <w:rPr>
                <w:rFonts w:hint="eastAsia" w:ascii="宋体" w:hAnsi="宋体"/>
                <w:sz w:val="24"/>
                <w:szCs w:val="24"/>
              </w:rPr>
            </w:pPr>
            <w:r>
              <w:rPr>
                <w:rFonts w:hint="eastAsia" w:ascii="宋体" w:hAnsi="宋体"/>
                <w:sz w:val="24"/>
                <w:szCs w:val="24"/>
              </w:rPr>
              <w:t>理解中国共产党与人民的关系；践行劳动精神、劳模精神，工匠精神，在为人民服务的实践中实现人生价值。</w:t>
            </w:r>
          </w:p>
        </w:tc>
      </w:tr>
      <w:tr w14:paraId="25FF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88" w:type="dxa"/>
            <w:gridSpan w:val="6"/>
            <w:tcBorders>
              <w:left w:val="single" w:color="auto" w:sz="4" w:space="0"/>
              <w:bottom w:val="single" w:color="auto" w:sz="4" w:space="0"/>
              <w:right w:val="single" w:color="auto" w:sz="4" w:space="0"/>
            </w:tcBorders>
            <w:noWrap w:val="0"/>
            <w:vAlign w:val="center"/>
          </w:tcPr>
          <w:p w14:paraId="4CD284FB">
            <w:pPr>
              <w:spacing w:line="360" w:lineRule="auto"/>
              <w:jc w:val="center"/>
              <w:rPr>
                <w:rFonts w:ascii="宋体" w:hAnsi="宋体"/>
                <w:sz w:val="24"/>
                <w:szCs w:val="24"/>
              </w:rPr>
            </w:pPr>
            <w:r>
              <w:rPr>
                <w:rFonts w:hint="eastAsia" w:ascii="宋体" w:hAnsi="宋体"/>
                <w:b/>
                <w:bCs/>
                <w:sz w:val="24"/>
                <w:szCs w:val="24"/>
              </w:rPr>
              <w:t>教学策略</w:t>
            </w:r>
          </w:p>
        </w:tc>
      </w:tr>
      <w:tr w14:paraId="0893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01790594">
            <w:pPr>
              <w:spacing w:line="360" w:lineRule="auto"/>
              <w:jc w:val="center"/>
              <w:rPr>
                <w:rFonts w:hint="eastAsia" w:ascii="宋体" w:hAnsi="宋体"/>
                <w:b/>
                <w:sz w:val="24"/>
                <w:szCs w:val="24"/>
              </w:rPr>
            </w:pPr>
            <w:r>
              <w:rPr>
                <w:rFonts w:hint="eastAsia" w:ascii="宋体" w:hAnsi="宋体"/>
                <w:b/>
                <w:sz w:val="24"/>
                <w:szCs w:val="24"/>
              </w:rPr>
              <w:t>教法学法</w:t>
            </w:r>
          </w:p>
        </w:tc>
        <w:tc>
          <w:tcPr>
            <w:tcW w:w="7872" w:type="dxa"/>
            <w:gridSpan w:val="4"/>
            <w:tcBorders>
              <w:top w:val="single" w:color="auto" w:sz="4" w:space="0"/>
              <w:left w:val="single" w:color="auto" w:sz="4" w:space="0"/>
              <w:bottom w:val="single" w:color="auto" w:sz="4" w:space="0"/>
              <w:right w:val="single" w:color="auto" w:sz="4" w:space="0"/>
            </w:tcBorders>
            <w:noWrap w:val="0"/>
            <w:vAlign w:val="center"/>
          </w:tcPr>
          <w:p w14:paraId="3B269111">
            <w:pPr>
              <w:spacing w:line="360" w:lineRule="auto"/>
              <w:rPr>
                <w:rFonts w:hint="eastAsia" w:ascii="宋体" w:hAnsi="宋体"/>
                <w:sz w:val="24"/>
                <w:szCs w:val="24"/>
              </w:rPr>
            </w:pPr>
            <w:r>
              <w:rPr>
                <w:rFonts w:hint="eastAsia" w:ascii="宋体" w:hAnsi="宋体"/>
                <w:sz w:val="24"/>
                <w:szCs w:val="24"/>
              </w:rPr>
              <w:t>议题式教学、自主阅读、合作探究、小组讨论</w:t>
            </w:r>
          </w:p>
        </w:tc>
      </w:tr>
      <w:tr w14:paraId="4699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15730DED">
            <w:pPr>
              <w:spacing w:line="360" w:lineRule="auto"/>
              <w:jc w:val="center"/>
              <w:rPr>
                <w:rFonts w:ascii="宋体" w:hAnsi="宋体"/>
                <w:b/>
                <w:sz w:val="24"/>
                <w:szCs w:val="24"/>
              </w:rPr>
            </w:pPr>
            <w:r>
              <w:rPr>
                <w:rFonts w:hint="eastAsia" w:ascii="宋体" w:hAnsi="宋体"/>
                <w:b/>
                <w:sz w:val="24"/>
                <w:szCs w:val="24"/>
              </w:rPr>
              <w:t>教学资源</w:t>
            </w:r>
          </w:p>
        </w:tc>
        <w:tc>
          <w:tcPr>
            <w:tcW w:w="7872" w:type="dxa"/>
            <w:gridSpan w:val="4"/>
            <w:tcBorders>
              <w:top w:val="single" w:color="auto" w:sz="4" w:space="0"/>
              <w:left w:val="single" w:color="auto" w:sz="4" w:space="0"/>
              <w:bottom w:val="single" w:color="auto" w:sz="4" w:space="0"/>
              <w:right w:val="single" w:color="auto" w:sz="4" w:space="0"/>
            </w:tcBorders>
            <w:noWrap w:val="0"/>
            <w:vAlign w:val="center"/>
          </w:tcPr>
          <w:p w14:paraId="1248A24D">
            <w:pPr>
              <w:spacing w:line="360" w:lineRule="auto"/>
              <w:rPr>
                <w:rFonts w:hint="eastAsia" w:ascii="宋体" w:hAnsi="宋体"/>
                <w:sz w:val="24"/>
                <w:szCs w:val="24"/>
              </w:rPr>
            </w:pPr>
            <w:r>
              <w:rPr>
                <w:rFonts w:hint="eastAsia" w:ascii="宋体" w:hAnsi="宋体"/>
                <w:sz w:val="24"/>
                <w:szCs w:val="24"/>
              </w:rPr>
              <w:t>1.文字素材</w:t>
            </w:r>
          </w:p>
          <w:p w14:paraId="7DC8FBDD">
            <w:pPr>
              <w:spacing w:line="360" w:lineRule="auto"/>
              <w:rPr>
                <w:rFonts w:hint="eastAsia" w:ascii="宋体" w:hAnsi="宋体"/>
                <w:sz w:val="24"/>
                <w:szCs w:val="24"/>
              </w:rPr>
            </w:pPr>
            <w:r>
              <w:rPr>
                <w:rFonts w:hint="eastAsia" w:ascii="宋体" w:hAnsi="宋体"/>
                <w:sz w:val="24"/>
                <w:szCs w:val="24"/>
              </w:rPr>
              <w:t>（1）习近平在庆祝中国共产党成立一百周年大会上的讲话</w:t>
            </w:r>
          </w:p>
          <w:p w14:paraId="51B11A4C">
            <w:pPr>
              <w:spacing w:line="360" w:lineRule="auto"/>
              <w:rPr>
                <w:rFonts w:ascii="宋体" w:hAnsi="宋体"/>
                <w:sz w:val="24"/>
                <w:szCs w:val="24"/>
              </w:rPr>
            </w:pPr>
            <w:r>
              <w:rPr>
                <w:rFonts w:hint="eastAsia" w:ascii="宋体" w:hAnsi="宋体"/>
                <w:sz w:val="24"/>
                <w:szCs w:val="24"/>
              </w:rPr>
              <w:t>（2）习近平在北京出席全球健康峰会的重要讲话</w:t>
            </w:r>
          </w:p>
          <w:p w14:paraId="7C5EA096">
            <w:pPr>
              <w:spacing w:line="360" w:lineRule="auto"/>
              <w:rPr>
                <w:rFonts w:ascii="宋体" w:hAnsi="宋体" w:cs="宋体"/>
                <w:sz w:val="24"/>
                <w:szCs w:val="24"/>
              </w:rPr>
            </w:pPr>
            <w:r>
              <w:rPr>
                <w:rFonts w:hint="eastAsia" w:ascii="宋体" w:hAnsi="宋体" w:cs="宋体"/>
                <w:sz w:val="24"/>
                <w:szCs w:val="24"/>
              </w:rPr>
              <w:t>（3）</w:t>
            </w:r>
            <w:r>
              <w:rPr>
                <w:rFonts w:ascii="宋体" w:hAnsi="宋体" w:cs="宋体"/>
                <w:sz w:val="24"/>
                <w:szCs w:val="24"/>
              </w:rPr>
              <w:t>全国劳动模范、广州22岁职校毕业生曾俊钦</w:t>
            </w:r>
          </w:p>
          <w:p w14:paraId="0D7712DE">
            <w:pPr>
              <w:spacing w:line="360" w:lineRule="auto"/>
              <w:rPr>
                <w:rFonts w:hint="eastAsia" w:ascii="宋体" w:hAnsi="宋体"/>
                <w:sz w:val="24"/>
                <w:szCs w:val="24"/>
              </w:rPr>
            </w:pPr>
            <w:r>
              <w:rPr>
                <w:rFonts w:hint="eastAsia" w:ascii="宋体" w:hAnsi="宋体"/>
                <w:sz w:val="24"/>
                <w:szCs w:val="24"/>
              </w:rPr>
              <w:t>（4）实施“三高四新”战略、建设现代化新湖南</w:t>
            </w:r>
          </w:p>
          <w:p w14:paraId="23187765">
            <w:pPr>
              <w:spacing w:line="360" w:lineRule="auto"/>
              <w:rPr>
                <w:rFonts w:hint="eastAsia" w:ascii="宋体" w:hAnsi="宋体"/>
                <w:sz w:val="24"/>
                <w:szCs w:val="24"/>
              </w:rPr>
            </w:pPr>
            <w:r>
              <w:rPr>
                <w:rFonts w:hint="eastAsia" w:ascii="宋体" w:hAnsi="宋体"/>
                <w:sz w:val="24"/>
                <w:szCs w:val="24"/>
              </w:rPr>
              <w:t>2.数字媒体资源</w:t>
            </w:r>
          </w:p>
          <w:p w14:paraId="3AE1F167">
            <w:pPr>
              <w:spacing w:line="360" w:lineRule="auto"/>
              <w:ind w:firstLine="480"/>
              <w:rPr>
                <w:rFonts w:hint="eastAsia" w:ascii="宋体" w:hAnsi="宋体"/>
                <w:sz w:val="24"/>
                <w:szCs w:val="24"/>
              </w:rPr>
            </w:pPr>
            <w:r>
              <w:rPr>
                <w:rFonts w:hint="eastAsia" w:ascii="宋体" w:hAnsi="宋体"/>
                <w:sz w:val="24"/>
                <w:szCs w:val="24"/>
              </w:rPr>
              <w:t>视频：中国共产党的百年述职；抗疫；脱贫攻坚</w:t>
            </w:r>
          </w:p>
          <w:p w14:paraId="2EC98578">
            <w:pPr>
              <w:spacing w:line="360" w:lineRule="auto"/>
              <w:ind w:firstLine="480"/>
              <w:rPr>
                <w:rFonts w:hint="eastAsia" w:ascii="宋体" w:hAnsi="宋体"/>
                <w:sz w:val="24"/>
                <w:szCs w:val="24"/>
              </w:rPr>
            </w:pPr>
            <w:r>
              <w:rPr>
                <w:rFonts w:hint="eastAsia" w:ascii="宋体" w:hAnsi="宋体"/>
                <w:sz w:val="24"/>
                <w:szCs w:val="24"/>
              </w:rPr>
              <w:t>图片等：抗疫；脱贫攻坚</w:t>
            </w:r>
          </w:p>
        </w:tc>
      </w:tr>
      <w:tr w14:paraId="578E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5CB455DF">
            <w:pPr>
              <w:spacing w:line="360" w:lineRule="auto"/>
              <w:jc w:val="center"/>
              <w:rPr>
                <w:rFonts w:ascii="宋体" w:hAnsi="宋体"/>
                <w:b/>
                <w:sz w:val="24"/>
                <w:szCs w:val="24"/>
              </w:rPr>
            </w:pPr>
            <w:r>
              <w:rPr>
                <w:rFonts w:hint="eastAsia" w:ascii="宋体" w:hAnsi="宋体"/>
                <w:b/>
                <w:sz w:val="24"/>
                <w:szCs w:val="24"/>
              </w:rPr>
              <w:t>教学过程设计</w:t>
            </w:r>
          </w:p>
        </w:tc>
        <w:tc>
          <w:tcPr>
            <w:tcW w:w="7872" w:type="dxa"/>
            <w:gridSpan w:val="4"/>
            <w:tcBorders>
              <w:top w:val="single" w:color="auto" w:sz="4" w:space="0"/>
              <w:left w:val="single" w:color="auto" w:sz="4" w:space="0"/>
              <w:bottom w:val="single" w:color="auto" w:sz="4" w:space="0"/>
              <w:right w:val="single" w:color="auto" w:sz="4" w:space="0"/>
            </w:tcBorders>
            <w:noWrap w:val="0"/>
            <w:vAlign w:val="center"/>
          </w:tcPr>
          <w:p w14:paraId="6BD183D3">
            <w:pPr>
              <w:spacing w:line="360" w:lineRule="auto"/>
              <w:ind w:firstLine="480" w:firstLineChars="200"/>
              <w:rPr>
                <w:rFonts w:ascii="宋体" w:hAnsi="宋体" w:cs="宋体"/>
                <w:sz w:val="24"/>
                <w:szCs w:val="24"/>
              </w:rPr>
            </w:pPr>
            <w:r>
              <w:rPr>
                <w:rFonts w:hint="eastAsia" w:ascii="宋体" w:hAnsi="宋体" w:cs="宋体"/>
                <w:sz w:val="24"/>
                <w:szCs w:val="24"/>
              </w:rPr>
              <w:t>基于内容和学情分析，设置议题，围绕议题设置活动。</w:t>
            </w:r>
          </w:p>
          <w:p w14:paraId="08804E9B">
            <w:pPr>
              <w:spacing w:line="360" w:lineRule="auto"/>
              <w:rPr>
                <w:rFonts w:ascii="宋体" w:hAnsi="宋体" w:cs="宋体"/>
                <w:sz w:val="24"/>
                <w:szCs w:val="24"/>
              </w:rPr>
            </w:pPr>
            <w:r>
              <w:rPr>
                <w:rFonts w:ascii="宋体" w:hAnsi="宋体" w:cs="宋体"/>
                <w:b/>
                <w:bCs/>
                <w:sz w:val="24"/>
                <w:szCs w:val="24"/>
              </w:rPr>
              <w:t>环节一：回望百年党史</w:t>
            </w:r>
            <w:r>
              <w:rPr>
                <w:rFonts w:ascii="宋体" w:hAnsi="宋体" w:cs="宋体"/>
                <w:sz w:val="24"/>
                <w:szCs w:val="24"/>
              </w:rPr>
              <w:br w:type="textWrapping"/>
            </w:r>
            <w:r>
              <w:rPr>
                <w:rFonts w:ascii="宋体" w:hAnsi="宋体" w:cs="宋体"/>
                <w:sz w:val="24"/>
                <w:szCs w:val="24"/>
              </w:rPr>
              <w:t>议题：</w:t>
            </w:r>
            <w:r>
              <w:rPr>
                <w:rFonts w:hint="eastAsia" w:ascii="宋体" w:hAnsi="宋体" w:cs="宋体"/>
                <w:sz w:val="24"/>
                <w:szCs w:val="24"/>
              </w:rPr>
              <w:t>中国共产党和人民的关系是怎样的</w:t>
            </w:r>
            <w:r>
              <w:rPr>
                <w:rFonts w:ascii="宋体" w:hAnsi="宋体" w:cs="宋体"/>
                <w:sz w:val="24"/>
                <w:szCs w:val="24"/>
              </w:rPr>
              <w:t>？</w:t>
            </w:r>
            <w:r>
              <w:rPr>
                <w:rFonts w:ascii="宋体" w:hAnsi="宋体" w:cs="宋体"/>
                <w:sz w:val="24"/>
                <w:szCs w:val="24"/>
              </w:rPr>
              <w:br w:type="textWrapping"/>
            </w:r>
            <w:r>
              <w:rPr>
                <w:rFonts w:ascii="宋体" w:hAnsi="宋体" w:cs="宋体"/>
                <w:sz w:val="24"/>
                <w:szCs w:val="24"/>
              </w:rPr>
              <w:t>活动1：观看视频，交流分享</w:t>
            </w:r>
            <w:r>
              <w:rPr>
                <w:rFonts w:ascii="宋体" w:hAnsi="宋体" w:cs="宋体"/>
                <w:sz w:val="24"/>
                <w:szCs w:val="24"/>
              </w:rPr>
              <w:br w:type="textWrapping"/>
            </w:r>
            <w:r>
              <w:rPr>
                <w:rFonts w:ascii="宋体" w:hAnsi="宋体" w:cs="宋体"/>
                <w:sz w:val="24"/>
                <w:szCs w:val="24"/>
              </w:rPr>
              <w:t>活动2：文献阅读，思考探究</w:t>
            </w:r>
          </w:p>
          <w:p w14:paraId="3B676CED">
            <w:pPr>
              <w:spacing w:line="360" w:lineRule="auto"/>
              <w:rPr>
                <w:rFonts w:hint="eastAsia" w:ascii="宋体" w:hAnsi="宋体" w:cs="宋体"/>
                <w:sz w:val="24"/>
                <w:szCs w:val="24"/>
              </w:rPr>
            </w:pPr>
            <w:r>
              <w:rPr>
                <w:rFonts w:ascii="宋体" w:hAnsi="宋体" w:cs="宋体"/>
                <w:b/>
                <w:bCs/>
                <w:sz w:val="24"/>
                <w:szCs w:val="24"/>
              </w:rPr>
              <w:t>环节二：审视胜利成果</w:t>
            </w:r>
            <w:r>
              <w:rPr>
                <w:rFonts w:ascii="宋体" w:hAnsi="宋体" w:cs="宋体"/>
                <w:sz w:val="24"/>
                <w:szCs w:val="24"/>
              </w:rPr>
              <w:br w:type="textWrapping"/>
            </w:r>
            <w:r>
              <w:rPr>
                <w:rFonts w:ascii="宋体" w:hAnsi="宋体" w:cs="宋体"/>
                <w:sz w:val="24"/>
                <w:szCs w:val="24"/>
              </w:rPr>
              <w:t>议题1：如何理解“以人民为中心”的科学内涵？</w:t>
            </w:r>
            <w:r>
              <w:rPr>
                <w:rFonts w:ascii="宋体" w:hAnsi="宋体" w:cs="宋体"/>
                <w:sz w:val="24"/>
                <w:szCs w:val="24"/>
              </w:rPr>
              <w:br w:type="textWrapping"/>
            </w:r>
            <w:r>
              <w:rPr>
                <w:rFonts w:ascii="宋体" w:hAnsi="宋体" w:cs="宋体"/>
                <w:sz w:val="24"/>
                <w:szCs w:val="24"/>
              </w:rPr>
              <w:t>议题2：中国共产党在新时代如何坚持以人民为中心？</w:t>
            </w:r>
            <w:r>
              <w:rPr>
                <w:rFonts w:ascii="宋体" w:hAnsi="宋体" w:cs="宋体"/>
                <w:sz w:val="24"/>
                <w:szCs w:val="24"/>
              </w:rPr>
              <w:br w:type="textWrapping"/>
            </w:r>
            <w:r>
              <w:rPr>
                <w:rFonts w:ascii="宋体" w:hAnsi="宋体" w:cs="宋体"/>
                <w:sz w:val="24"/>
                <w:szCs w:val="24"/>
              </w:rPr>
              <w:t>活动1：案例合作探究：抗击疫情</w:t>
            </w:r>
            <w:r>
              <w:rPr>
                <w:rFonts w:ascii="宋体" w:hAnsi="宋体" w:cs="宋体"/>
                <w:sz w:val="24"/>
                <w:szCs w:val="24"/>
              </w:rPr>
              <w:br w:type="textWrapping"/>
            </w:r>
            <w:r>
              <w:rPr>
                <w:rFonts w:ascii="宋体" w:hAnsi="宋体" w:cs="宋体"/>
                <w:sz w:val="24"/>
                <w:szCs w:val="24"/>
              </w:rPr>
              <w:t>活动2：</w:t>
            </w:r>
            <w:r>
              <w:rPr>
                <w:rFonts w:hint="eastAsia" w:ascii="宋体" w:hAnsi="宋体" w:cs="宋体"/>
                <w:sz w:val="24"/>
                <w:szCs w:val="24"/>
              </w:rPr>
              <w:t>现场连线</w:t>
            </w:r>
            <w:r>
              <w:rPr>
                <w:rFonts w:ascii="宋体" w:hAnsi="宋体" w:cs="宋体"/>
                <w:sz w:val="24"/>
                <w:szCs w:val="24"/>
              </w:rPr>
              <w:t>：脱贫攻坚</w:t>
            </w:r>
            <w:r>
              <w:rPr>
                <w:rFonts w:ascii="宋体" w:hAnsi="宋体" w:cs="宋体"/>
                <w:sz w:val="24"/>
                <w:szCs w:val="24"/>
              </w:rPr>
              <w:br w:type="textWrapping"/>
            </w:r>
            <w:r>
              <w:rPr>
                <w:rFonts w:ascii="宋体" w:hAnsi="宋体" w:cs="宋体"/>
                <w:b/>
                <w:bCs/>
                <w:sz w:val="24"/>
                <w:szCs w:val="24"/>
              </w:rPr>
              <w:t>环节三：践行青春誓言</w:t>
            </w:r>
            <w:r>
              <w:rPr>
                <w:rFonts w:ascii="宋体" w:hAnsi="宋体" w:cs="宋体"/>
                <w:sz w:val="24"/>
                <w:szCs w:val="24"/>
              </w:rPr>
              <w:br w:type="textWrapping"/>
            </w:r>
            <w:r>
              <w:rPr>
                <w:rFonts w:ascii="宋体" w:hAnsi="宋体" w:cs="宋体"/>
                <w:sz w:val="24"/>
                <w:szCs w:val="24"/>
              </w:rPr>
              <w:t>议题：如何践行劳动精神、工匠精神、劳模精神，发挥主体地位和首创精神，在为人民服务的实践中实现人生价值？</w:t>
            </w:r>
            <w:r>
              <w:rPr>
                <w:rFonts w:ascii="宋体" w:hAnsi="宋体" w:cs="宋体"/>
                <w:sz w:val="24"/>
                <w:szCs w:val="24"/>
              </w:rPr>
              <w:br w:type="textWrapping"/>
            </w:r>
            <w:r>
              <w:rPr>
                <w:rFonts w:ascii="宋体" w:hAnsi="宋体" w:cs="宋体"/>
                <w:sz w:val="24"/>
                <w:szCs w:val="24"/>
              </w:rPr>
              <w:t>活动1：榜样示范，典型引领</w:t>
            </w:r>
            <w:r>
              <w:rPr>
                <w:rFonts w:ascii="宋体" w:hAnsi="宋体" w:cs="宋体"/>
                <w:sz w:val="24"/>
                <w:szCs w:val="24"/>
              </w:rPr>
              <w:br w:type="textWrapping"/>
            </w:r>
            <w:r>
              <w:rPr>
                <w:rFonts w:ascii="宋体" w:hAnsi="宋体" w:cs="宋体"/>
                <w:sz w:val="24"/>
                <w:szCs w:val="24"/>
              </w:rPr>
              <w:t>活动2：</w:t>
            </w:r>
            <w:r>
              <w:rPr>
                <w:rFonts w:hint="eastAsia" w:ascii="宋体" w:hAnsi="宋体" w:cs="宋体"/>
                <w:sz w:val="24"/>
                <w:szCs w:val="24"/>
              </w:rPr>
              <w:t>志愿服务</w:t>
            </w:r>
            <w:r>
              <w:rPr>
                <w:rFonts w:ascii="宋体" w:hAnsi="宋体" w:cs="宋体"/>
                <w:sz w:val="24"/>
                <w:szCs w:val="24"/>
              </w:rPr>
              <w:t>，知行合一</w:t>
            </w:r>
          </w:p>
        </w:tc>
      </w:tr>
      <w:tr w14:paraId="0D30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88" w:type="dxa"/>
            <w:gridSpan w:val="6"/>
            <w:tcBorders>
              <w:left w:val="single" w:color="auto" w:sz="4" w:space="0"/>
              <w:bottom w:val="single" w:color="auto" w:sz="4" w:space="0"/>
              <w:right w:val="single" w:color="auto" w:sz="4" w:space="0"/>
            </w:tcBorders>
            <w:noWrap w:val="0"/>
            <w:vAlign w:val="center"/>
          </w:tcPr>
          <w:p w14:paraId="78CAE0C4">
            <w:pPr>
              <w:spacing w:line="360" w:lineRule="auto"/>
              <w:jc w:val="center"/>
              <w:rPr>
                <w:rFonts w:hint="eastAsia" w:ascii="宋体" w:hAnsi="宋体"/>
                <w:b/>
                <w:sz w:val="24"/>
                <w:szCs w:val="24"/>
              </w:rPr>
            </w:pPr>
            <w:r>
              <w:rPr>
                <w:rFonts w:hint="eastAsia" w:ascii="宋体" w:hAnsi="宋体"/>
                <w:b/>
                <w:bCs/>
                <w:sz w:val="24"/>
                <w:szCs w:val="24"/>
              </w:rPr>
              <w:t>教学内容及实施过程</w:t>
            </w:r>
          </w:p>
        </w:tc>
      </w:tr>
      <w:tr w14:paraId="7687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88" w:type="dxa"/>
            <w:gridSpan w:val="6"/>
            <w:tcBorders>
              <w:left w:val="single" w:color="auto" w:sz="4" w:space="0"/>
              <w:bottom w:val="single" w:color="auto" w:sz="4" w:space="0"/>
              <w:right w:val="single" w:color="auto" w:sz="4" w:space="0"/>
            </w:tcBorders>
            <w:noWrap w:val="0"/>
            <w:vAlign w:val="center"/>
          </w:tcPr>
          <w:p w14:paraId="450899AD">
            <w:pPr>
              <w:spacing w:line="360" w:lineRule="auto"/>
              <w:jc w:val="center"/>
              <w:rPr>
                <w:rFonts w:hint="eastAsia" w:ascii="宋体" w:hAnsi="宋体"/>
                <w:b/>
                <w:bCs/>
                <w:sz w:val="24"/>
                <w:szCs w:val="24"/>
              </w:rPr>
            </w:pPr>
            <w:r>
              <w:rPr>
                <w:rFonts w:hint="eastAsia" w:ascii="宋体" w:hAnsi="宋体"/>
                <w:b/>
                <w:bCs/>
                <w:sz w:val="24"/>
                <w:szCs w:val="24"/>
              </w:rPr>
              <w:t>教学准备</w:t>
            </w:r>
          </w:p>
        </w:tc>
      </w:tr>
      <w:tr w14:paraId="6B38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88" w:type="dxa"/>
            <w:gridSpan w:val="6"/>
            <w:tcBorders>
              <w:left w:val="single" w:color="auto" w:sz="4" w:space="0"/>
              <w:bottom w:val="single" w:color="auto" w:sz="4" w:space="0"/>
              <w:right w:val="single" w:color="auto" w:sz="4" w:space="0"/>
            </w:tcBorders>
            <w:noWrap w:val="0"/>
            <w:vAlign w:val="center"/>
          </w:tcPr>
          <w:p w14:paraId="2D2EB973">
            <w:pPr>
              <w:spacing w:line="360" w:lineRule="auto"/>
              <w:rPr>
                <w:rFonts w:hint="eastAsia" w:ascii="宋体" w:hAnsi="宋体"/>
                <w:bCs/>
                <w:sz w:val="24"/>
                <w:szCs w:val="24"/>
              </w:rPr>
            </w:pPr>
            <w:r>
              <w:rPr>
                <w:rFonts w:hint="eastAsia" w:ascii="宋体" w:hAnsi="宋体"/>
                <w:bCs/>
                <w:sz w:val="24"/>
                <w:szCs w:val="24"/>
              </w:rPr>
              <w:t>1.教师：准备中国共产党百年奋斗史、习近平金句等相关资料；钻研教材，编写教案，上传相关资料至教学资源平台。</w:t>
            </w:r>
          </w:p>
          <w:p w14:paraId="26AA2497">
            <w:pPr>
              <w:spacing w:line="360" w:lineRule="auto"/>
              <w:rPr>
                <w:rFonts w:hint="eastAsia" w:ascii="宋体" w:hAnsi="宋体"/>
                <w:bCs/>
                <w:sz w:val="24"/>
                <w:szCs w:val="24"/>
              </w:rPr>
            </w:pPr>
            <w:r>
              <w:rPr>
                <w:rFonts w:hint="eastAsia" w:ascii="宋体" w:hAnsi="宋体"/>
                <w:bCs/>
                <w:sz w:val="24"/>
                <w:szCs w:val="24"/>
              </w:rPr>
              <w:t>2.学生：了解中国共产党百年奋斗史；准备家乡脱贫成功的案例；搜集中国抗疫成功的阶段性成果的相关资料。</w:t>
            </w:r>
          </w:p>
        </w:tc>
      </w:tr>
      <w:tr w14:paraId="1CDF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085" w:type="dxa"/>
            <w:gridSpan w:val="3"/>
            <w:tcBorders>
              <w:left w:val="single" w:color="auto" w:sz="4" w:space="0"/>
              <w:bottom w:val="single" w:color="auto" w:sz="4" w:space="0"/>
              <w:right w:val="single" w:color="auto" w:sz="4" w:space="0"/>
            </w:tcBorders>
            <w:noWrap w:val="0"/>
            <w:vAlign w:val="center"/>
          </w:tcPr>
          <w:p w14:paraId="3DC3E097">
            <w:pPr>
              <w:spacing w:line="360" w:lineRule="auto"/>
              <w:jc w:val="center"/>
              <w:rPr>
                <w:rFonts w:hint="eastAsia" w:ascii="宋体" w:hAnsi="宋体"/>
                <w:b/>
                <w:bCs/>
                <w:sz w:val="24"/>
                <w:szCs w:val="24"/>
              </w:rPr>
            </w:pPr>
            <w:r>
              <w:rPr>
                <w:rFonts w:hint="eastAsia" w:ascii="宋体" w:hAnsi="宋体"/>
                <w:b/>
                <w:bCs/>
                <w:sz w:val="24"/>
                <w:szCs w:val="24"/>
              </w:rPr>
              <w:t>教学内容</w:t>
            </w:r>
          </w:p>
        </w:tc>
        <w:tc>
          <w:tcPr>
            <w:tcW w:w="2693" w:type="dxa"/>
            <w:tcBorders>
              <w:left w:val="single" w:color="auto" w:sz="4" w:space="0"/>
              <w:bottom w:val="single" w:color="auto" w:sz="4" w:space="0"/>
              <w:right w:val="single" w:color="auto" w:sz="4" w:space="0"/>
            </w:tcBorders>
            <w:noWrap w:val="0"/>
            <w:vAlign w:val="center"/>
          </w:tcPr>
          <w:p w14:paraId="5AEEEF96">
            <w:pPr>
              <w:spacing w:line="360" w:lineRule="auto"/>
              <w:jc w:val="center"/>
              <w:rPr>
                <w:rFonts w:hint="eastAsia" w:ascii="宋体" w:hAnsi="宋体"/>
                <w:b/>
                <w:bCs/>
                <w:sz w:val="24"/>
                <w:szCs w:val="24"/>
              </w:rPr>
            </w:pPr>
            <w:r>
              <w:rPr>
                <w:rFonts w:hint="eastAsia" w:ascii="宋体" w:hAnsi="宋体"/>
                <w:b/>
                <w:bCs/>
                <w:sz w:val="24"/>
                <w:szCs w:val="24"/>
              </w:rPr>
              <w:t>教师活动</w:t>
            </w:r>
          </w:p>
        </w:tc>
        <w:tc>
          <w:tcPr>
            <w:tcW w:w="3510" w:type="dxa"/>
            <w:gridSpan w:val="2"/>
            <w:tcBorders>
              <w:left w:val="single" w:color="auto" w:sz="4" w:space="0"/>
              <w:bottom w:val="single" w:color="auto" w:sz="4" w:space="0"/>
              <w:right w:val="single" w:color="auto" w:sz="4" w:space="0"/>
            </w:tcBorders>
            <w:noWrap w:val="0"/>
            <w:vAlign w:val="center"/>
          </w:tcPr>
          <w:p w14:paraId="3C98ADF7">
            <w:pPr>
              <w:spacing w:line="360" w:lineRule="auto"/>
              <w:jc w:val="center"/>
              <w:rPr>
                <w:rFonts w:hint="eastAsia" w:ascii="宋体" w:hAnsi="宋体"/>
                <w:b/>
                <w:bCs/>
                <w:sz w:val="24"/>
                <w:szCs w:val="24"/>
              </w:rPr>
            </w:pPr>
            <w:r>
              <w:rPr>
                <w:rFonts w:hint="eastAsia" w:ascii="宋体" w:hAnsi="宋体"/>
                <w:b/>
                <w:bCs/>
                <w:sz w:val="24"/>
                <w:szCs w:val="24"/>
              </w:rPr>
              <w:t>学生活动</w:t>
            </w:r>
          </w:p>
        </w:tc>
      </w:tr>
      <w:tr w14:paraId="37AF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720" w:type="dxa"/>
            <w:tcBorders>
              <w:left w:val="single" w:color="auto" w:sz="4" w:space="0"/>
              <w:right w:val="single" w:color="auto" w:sz="4" w:space="0"/>
            </w:tcBorders>
            <w:noWrap w:val="0"/>
            <w:vAlign w:val="center"/>
          </w:tcPr>
          <w:p w14:paraId="61AA154C">
            <w:pPr>
              <w:spacing w:line="360" w:lineRule="auto"/>
              <w:jc w:val="center"/>
              <w:rPr>
                <w:rFonts w:hint="eastAsia" w:ascii="宋体" w:hAnsi="宋体"/>
                <w:b/>
                <w:bCs/>
                <w:sz w:val="24"/>
                <w:szCs w:val="24"/>
              </w:rPr>
            </w:pPr>
            <w:r>
              <w:rPr>
                <w:rFonts w:hint="eastAsia" w:ascii="宋体" w:hAnsi="宋体"/>
                <w:b/>
                <w:bCs/>
                <w:sz w:val="24"/>
                <w:szCs w:val="24"/>
              </w:rPr>
              <w:t>环节一：回顾百年党史</w:t>
            </w:r>
          </w:p>
        </w:tc>
        <w:tc>
          <w:tcPr>
            <w:tcW w:w="2365" w:type="dxa"/>
            <w:gridSpan w:val="2"/>
            <w:tcBorders>
              <w:left w:val="single" w:color="auto" w:sz="4" w:space="0"/>
              <w:right w:val="single" w:color="auto" w:sz="4" w:space="0"/>
            </w:tcBorders>
            <w:noWrap w:val="0"/>
            <w:vAlign w:val="top"/>
          </w:tcPr>
          <w:p w14:paraId="5EB53C3A">
            <w:pPr>
              <w:spacing w:line="360" w:lineRule="auto"/>
              <w:rPr>
                <w:rFonts w:hint="eastAsia" w:ascii="宋体" w:hAnsi="宋体"/>
                <w:bCs/>
                <w:sz w:val="24"/>
                <w:szCs w:val="24"/>
              </w:rPr>
            </w:pPr>
            <w:r>
              <w:rPr>
                <w:rFonts w:hint="eastAsia" w:ascii="宋体" w:hAnsi="宋体"/>
                <w:bCs/>
                <w:sz w:val="24"/>
                <w:szCs w:val="24"/>
              </w:rPr>
              <w:t>议题：中国共产党和人民的关系是怎样的？</w:t>
            </w:r>
          </w:p>
          <w:p w14:paraId="22406769">
            <w:pPr>
              <w:numPr>
                <w:ilvl w:val="0"/>
                <w:numId w:val="1"/>
              </w:numPr>
              <w:spacing w:line="360" w:lineRule="auto"/>
              <w:rPr>
                <w:rFonts w:ascii="Calibri" w:hAnsi="Calibri"/>
                <w:sz w:val="24"/>
                <w:szCs w:val="24"/>
              </w:rPr>
            </w:pPr>
            <w:r>
              <w:rPr>
                <w:rFonts w:hint="eastAsia" w:ascii="宋体" w:hAnsi="宋体"/>
                <w:bCs/>
                <w:sz w:val="24"/>
                <w:szCs w:val="24"/>
              </w:rPr>
              <w:t>人民立场是党的根本立场，为人民服务是党的根本宗旨，为人民谋幸福、为民族谋复兴是党的初心和使命。</w:t>
            </w:r>
          </w:p>
          <w:p w14:paraId="2035CC04">
            <w:pPr>
              <w:spacing w:line="360" w:lineRule="auto"/>
              <w:rPr>
                <w:rFonts w:hint="eastAsia" w:ascii="Calibri" w:hAnsi="Calibri"/>
                <w:sz w:val="24"/>
                <w:szCs w:val="24"/>
              </w:rPr>
            </w:pPr>
          </w:p>
          <w:p w14:paraId="7A9D4DC7">
            <w:pPr>
              <w:spacing w:line="360" w:lineRule="auto"/>
              <w:rPr>
                <w:rFonts w:hint="eastAsia" w:ascii="Calibri" w:hAnsi="Calibri"/>
                <w:sz w:val="24"/>
                <w:szCs w:val="24"/>
              </w:rPr>
            </w:pPr>
          </w:p>
          <w:p w14:paraId="7469E117">
            <w:pPr>
              <w:spacing w:line="360" w:lineRule="auto"/>
              <w:rPr>
                <w:rFonts w:hint="eastAsia" w:ascii="宋体" w:hAnsi="宋体"/>
                <w:bCs/>
                <w:sz w:val="24"/>
                <w:szCs w:val="24"/>
              </w:rPr>
            </w:pPr>
            <w:r>
              <w:rPr>
                <w:rFonts w:hint="eastAsia" w:ascii="宋体" w:hAnsi="宋体"/>
                <w:sz w:val="24"/>
                <w:szCs w:val="24"/>
              </w:rPr>
              <w:t>2</w:t>
            </w:r>
            <w:r>
              <w:rPr>
                <w:rFonts w:ascii="Calibri" w:hAnsi="Calibri"/>
                <w:sz w:val="24"/>
                <w:szCs w:val="24"/>
              </w:rPr>
              <w:t xml:space="preserve">. </w:t>
            </w:r>
            <w:r>
              <w:rPr>
                <w:rFonts w:hint="eastAsia" w:ascii="宋体" w:hAnsi="宋体"/>
                <w:bCs/>
                <w:sz w:val="24"/>
                <w:szCs w:val="24"/>
              </w:rPr>
              <w:t>党性和人民性从来都是一致的、统一的，党除了国家、民族、人民的利益，没有自己特殊的利益。</w:t>
            </w:r>
          </w:p>
        </w:tc>
        <w:tc>
          <w:tcPr>
            <w:tcW w:w="2693" w:type="dxa"/>
            <w:tcBorders>
              <w:left w:val="single" w:color="auto" w:sz="4" w:space="0"/>
              <w:right w:val="single" w:color="auto" w:sz="4" w:space="0"/>
            </w:tcBorders>
            <w:noWrap w:val="0"/>
            <w:vAlign w:val="top"/>
          </w:tcPr>
          <w:p w14:paraId="430A1850">
            <w:pPr>
              <w:spacing w:line="360" w:lineRule="auto"/>
              <w:rPr>
                <w:rFonts w:ascii="宋体" w:hAnsi="宋体"/>
                <w:bCs/>
                <w:sz w:val="24"/>
                <w:szCs w:val="24"/>
              </w:rPr>
            </w:pPr>
            <w:r>
              <w:rPr>
                <w:rFonts w:hint="eastAsia" w:ascii="宋体" w:hAnsi="宋体"/>
                <w:bCs/>
                <w:sz w:val="24"/>
                <w:szCs w:val="24"/>
              </w:rPr>
              <w:t>1.播放视频，引导学生思考问题。在师生互动和教师追问中，引导学生理解：人民立场是党的根本立场，为人民服务是党的根本宗旨，为人民谋幸福、为民族谋复兴是党的初心和使命。</w:t>
            </w:r>
          </w:p>
          <w:p w14:paraId="4B6595D3">
            <w:pPr>
              <w:spacing w:line="360" w:lineRule="auto"/>
              <w:rPr>
                <w:rFonts w:ascii="宋体" w:hAnsi="宋体"/>
                <w:bCs/>
                <w:sz w:val="24"/>
                <w:szCs w:val="24"/>
              </w:rPr>
            </w:pPr>
          </w:p>
          <w:p w14:paraId="3758F47B">
            <w:pPr>
              <w:spacing w:line="360" w:lineRule="auto"/>
              <w:rPr>
                <w:rFonts w:hint="eastAsia" w:ascii="宋体" w:hAnsi="宋体"/>
                <w:bCs/>
                <w:sz w:val="24"/>
                <w:szCs w:val="24"/>
              </w:rPr>
            </w:pPr>
          </w:p>
          <w:p w14:paraId="4216DC83">
            <w:pPr>
              <w:spacing w:line="360" w:lineRule="auto"/>
              <w:rPr>
                <w:rFonts w:hint="eastAsia" w:ascii="宋体" w:hAnsi="宋体"/>
                <w:bCs/>
                <w:sz w:val="24"/>
                <w:szCs w:val="24"/>
              </w:rPr>
            </w:pPr>
            <w:r>
              <w:rPr>
                <w:rFonts w:hint="eastAsia" w:ascii="宋体" w:hAnsi="宋体"/>
                <w:bCs/>
                <w:sz w:val="24"/>
                <w:szCs w:val="24"/>
              </w:rPr>
              <w:t>2.提供文献资料，引导学生进行思考探究。根据学生的回答，进行追问，引导学生理解党性和人民性从来都是一致的、统一的，党除了国家、民族、人民的利益，没有自己特殊的利益。</w:t>
            </w:r>
          </w:p>
        </w:tc>
        <w:tc>
          <w:tcPr>
            <w:tcW w:w="3510" w:type="dxa"/>
            <w:gridSpan w:val="2"/>
            <w:tcBorders>
              <w:left w:val="single" w:color="auto" w:sz="4" w:space="0"/>
              <w:right w:val="single" w:color="auto" w:sz="4" w:space="0"/>
            </w:tcBorders>
            <w:noWrap w:val="0"/>
            <w:vAlign w:val="top"/>
          </w:tcPr>
          <w:p w14:paraId="2FBF4E16">
            <w:pPr>
              <w:spacing w:line="360" w:lineRule="auto"/>
              <w:rPr>
                <w:rFonts w:hint="eastAsia" w:ascii="Calibri" w:hAnsi="Calibri"/>
                <w:sz w:val="24"/>
                <w:szCs w:val="24"/>
              </w:rPr>
            </w:pPr>
            <w:r>
              <w:rPr>
                <w:rFonts w:hint="eastAsia" w:ascii="宋体" w:hAnsi="宋体"/>
                <w:sz w:val="24"/>
                <w:szCs w:val="24"/>
              </w:rPr>
              <w:t>1</w:t>
            </w:r>
            <w:r>
              <w:rPr>
                <w:rFonts w:ascii="宋体" w:hAnsi="宋体"/>
                <w:sz w:val="24"/>
                <w:szCs w:val="24"/>
              </w:rPr>
              <w:t xml:space="preserve">. </w:t>
            </w:r>
            <w:r>
              <w:rPr>
                <w:rFonts w:hint="eastAsia" w:ascii="Calibri" w:hAnsi="Calibri"/>
                <w:sz w:val="24"/>
                <w:szCs w:val="24"/>
              </w:rPr>
              <w:t>观看视频：《中国共产党的百年述职》，交流分享：</w:t>
            </w:r>
          </w:p>
          <w:p w14:paraId="217BCFA6">
            <w:pPr>
              <w:spacing w:line="360" w:lineRule="auto"/>
              <w:rPr>
                <w:rFonts w:ascii="宋体" w:hAnsi="宋体"/>
                <w:bCs/>
                <w:sz w:val="24"/>
                <w:szCs w:val="24"/>
              </w:rPr>
            </w:pPr>
            <w:r>
              <w:rPr>
                <w:rFonts w:ascii="Calibri" w:hAnsi="Calibri" w:cs="Calibri"/>
                <w:sz w:val="24"/>
                <w:szCs w:val="24"/>
              </w:rPr>
              <w:t>①</w:t>
            </w:r>
            <w:r>
              <w:rPr>
                <w:rFonts w:hint="eastAsia" w:ascii="Calibri" w:hAnsi="Calibri"/>
                <w:sz w:val="24"/>
                <w:szCs w:val="24"/>
              </w:rPr>
              <w:t>中国共产党百年奋斗征程中，创造了哪些彪炳史册的人间奇迹？</w:t>
            </w:r>
          </w:p>
          <w:p w14:paraId="58DD85D5">
            <w:pPr>
              <w:spacing w:line="360" w:lineRule="auto"/>
              <w:rPr>
                <w:rFonts w:ascii="Calibri" w:hAnsi="Calibri"/>
                <w:sz w:val="24"/>
                <w:szCs w:val="24"/>
              </w:rPr>
            </w:pPr>
            <w:r>
              <w:rPr>
                <w:rFonts w:ascii="Calibri" w:hAnsi="Calibri" w:cs="Calibri"/>
                <w:sz w:val="24"/>
                <w:szCs w:val="24"/>
              </w:rPr>
              <w:t>②</w:t>
            </w:r>
            <w:r>
              <w:rPr>
                <w:rFonts w:hint="eastAsia" w:ascii="Calibri" w:hAnsi="Calibri"/>
                <w:sz w:val="24"/>
                <w:szCs w:val="24"/>
              </w:rPr>
              <w:t>在中国共产党百年奋斗征程中，请同学们选取你最感兴趣的事件来说明中国共产党始终同人民在一起，为人民谋幸福、为民族谋复兴。</w:t>
            </w:r>
          </w:p>
          <w:p w14:paraId="05E97735">
            <w:pPr>
              <w:spacing w:line="360" w:lineRule="auto"/>
              <w:rPr>
                <w:rFonts w:hint="eastAsia" w:ascii="宋体" w:hAnsi="宋体"/>
                <w:bCs/>
                <w:sz w:val="24"/>
                <w:szCs w:val="24"/>
              </w:rPr>
            </w:pPr>
          </w:p>
          <w:p w14:paraId="5F35CF01">
            <w:pPr>
              <w:numPr>
                <w:ilvl w:val="0"/>
                <w:numId w:val="1"/>
              </w:numPr>
              <w:spacing w:line="360" w:lineRule="auto"/>
              <w:rPr>
                <w:rFonts w:hint="eastAsia" w:ascii="Calibri" w:hAnsi="Calibri"/>
                <w:sz w:val="24"/>
                <w:szCs w:val="24"/>
              </w:rPr>
            </w:pPr>
            <w:r>
              <w:rPr>
                <w:rFonts w:hint="eastAsia" w:ascii="Calibri" w:hAnsi="Calibri"/>
                <w:sz w:val="24"/>
                <w:szCs w:val="24"/>
              </w:rPr>
              <w:t>文献阅读，思考探究</w:t>
            </w:r>
          </w:p>
          <w:p w14:paraId="7730F9C6">
            <w:pPr>
              <w:spacing w:line="360" w:lineRule="auto"/>
              <w:ind w:firstLine="240" w:firstLineChars="100"/>
              <w:rPr>
                <w:rFonts w:hint="eastAsia" w:ascii="Calibri" w:hAnsi="Calibri"/>
                <w:sz w:val="24"/>
                <w:szCs w:val="24"/>
              </w:rPr>
            </w:pPr>
            <w:r>
              <w:rPr>
                <w:rFonts w:hint="eastAsia" w:ascii="宋体" w:hAnsi="宋体"/>
                <w:bCs/>
                <w:sz w:val="24"/>
                <w:szCs w:val="24"/>
              </w:rPr>
              <w:t>阅读文献：</w:t>
            </w:r>
            <w:r>
              <w:rPr>
                <w:rFonts w:hint="eastAsia" w:ascii="Calibri" w:hAnsi="Calibri"/>
                <w:sz w:val="24"/>
                <w:szCs w:val="24"/>
              </w:rPr>
              <w:t>《习近平在庆祝中国共产党成立一百周年大会上的讲话金句》，思考探究：</w:t>
            </w:r>
          </w:p>
          <w:p w14:paraId="7D60F85C">
            <w:pPr>
              <w:spacing w:line="360" w:lineRule="auto"/>
              <w:rPr>
                <w:rFonts w:hint="eastAsia" w:ascii="Calibri" w:hAnsi="Calibri"/>
                <w:sz w:val="24"/>
                <w:szCs w:val="24"/>
              </w:rPr>
            </w:pPr>
            <w:r>
              <w:rPr>
                <w:rFonts w:ascii="Calibri" w:hAnsi="Calibri" w:cs="Calibri"/>
                <w:sz w:val="24"/>
                <w:szCs w:val="24"/>
              </w:rPr>
              <w:t>①</w:t>
            </w:r>
            <w:r>
              <w:rPr>
                <w:rFonts w:hint="eastAsia" w:ascii="Calibri" w:hAnsi="Calibri"/>
                <w:sz w:val="24"/>
                <w:szCs w:val="24"/>
              </w:rPr>
              <w:t>结合习近平在庆祝中国共产党成立一百周年大会上的讲话金句，来谈一谈中国共产党和人民的关系？</w:t>
            </w:r>
          </w:p>
          <w:p w14:paraId="4B0E5A4B">
            <w:pPr>
              <w:spacing w:line="360" w:lineRule="auto"/>
              <w:rPr>
                <w:rFonts w:hint="eastAsia" w:ascii="宋体" w:hAnsi="宋体"/>
                <w:bCs/>
                <w:sz w:val="24"/>
                <w:szCs w:val="24"/>
              </w:rPr>
            </w:pPr>
            <w:r>
              <w:rPr>
                <w:rFonts w:ascii="Calibri" w:hAnsi="Calibri" w:cs="Calibri"/>
                <w:sz w:val="24"/>
                <w:szCs w:val="24"/>
              </w:rPr>
              <w:t>②</w:t>
            </w:r>
            <w:r>
              <w:rPr>
                <w:rFonts w:hint="eastAsia" w:ascii="Calibri" w:hAnsi="Calibri"/>
                <w:sz w:val="24"/>
                <w:szCs w:val="24"/>
              </w:rPr>
              <w:t>选取你最喜欢的一句金句，来谈谈你对习近平总书记所说的“党性和人民性是一致的、统一的”的理解。</w:t>
            </w:r>
          </w:p>
        </w:tc>
      </w:tr>
      <w:tr w14:paraId="5AF7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720" w:type="dxa"/>
            <w:tcBorders>
              <w:left w:val="single" w:color="auto" w:sz="4" w:space="0"/>
              <w:bottom w:val="single" w:color="auto" w:sz="4" w:space="0"/>
              <w:right w:val="single" w:color="auto" w:sz="4" w:space="0"/>
            </w:tcBorders>
            <w:noWrap w:val="0"/>
            <w:vAlign w:val="center"/>
          </w:tcPr>
          <w:p w14:paraId="61380DC5">
            <w:pPr>
              <w:spacing w:line="360" w:lineRule="auto"/>
              <w:jc w:val="center"/>
              <w:rPr>
                <w:rFonts w:hint="eastAsia" w:ascii="宋体" w:hAnsi="宋体"/>
                <w:b/>
                <w:bCs/>
                <w:sz w:val="24"/>
                <w:szCs w:val="24"/>
              </w:rPr>
            </w:pPr>
            <w:r>
              <w:rPr>
                <w:rFonts w:hint="eastAsia" w:ascii="宋体" w:hAnsi="宋体"/>
                <w:b/>
                <w:bCs/>
                <w:sz w:val="24"/>
                <w:szCs w:val="24"/>
              </w:rPr>
              <w:t>环节二：</w:t>
            </w:r>
            <w:r>
              <w:rPr>
                <w:rFonts w:hint="eastAsia" w:ascii="Calibri" w:hAnsi="Calibri"/>
                <w:b/>
                <w:sz w:val="24"/>
                <w:szCs w:val="24"/>
              </w:rPr>
              <w:t>审视胜利成果</w:t>
            </w:r>
          </w:p>
        </w:tc>
        <w:tc>
          <w:tcPr>
            <w:tcW w:w="2365" w:type="dxa"/>
            <w:gridSpan w:val="2"/>
            <w:tcBorders>
              <w:left w:val="single" w:color="auto" w:sz="4" w:space="0"/>
              <w:bottom w:val="single" w:color="auto" w:sz="4" w:space="0"/>
              <w:right w:val="single" w:color="auto" w:sz="4" w:space="0"/>
            </w:tcBorders>
            <w:noWrap w:val="0"/>
            <w:vAlign w:val="top"/>
          </w:tcPr>
          <w:p w14:paraId="6B7C5A94">
            <w:pPr>
              <w:spacing w:line="360" w:lineRule="auto"/>
              <w:rPr>
                <w:rFonts w:ascii="Calibri" w:hAnsi="Calibri"/>
                <w:sz w:val="24"/>
                <w:szCs w:val="24"/>
              </w:rPr>
            </w:pPr>
            <w:r>
              <w:rPr>
                <w:rFonts w:ascii="宋体" w:hAnsi="宋体" w:cs="宋体"/>
                <w:sz w:val="24"/>
                <w:szCs w:val="24"/>
              </w:rPr>
              <w:t>议题：如何理解“以人民为中心”的科学内涵？</w:t>
            </w:r>
            <w:r>
              <w:rPr>
                <w:rFonts w:ascii="宋体" w:hAnsi="宋体" w:cs="宋体"/>
                <w:sz w:val="24"/>
                <w:szCs w:val="24"/>
              </w:rPr>
              <w:br w:type="textWrapping"/>
            </w:r>
            <w:r>
              <w:rPr>
                <w:rFonts w:ascii="宋体" w:hAnsi="宋体" w:cs="宋体"/>
                <w:sz w:val="24"/>
                <w:szCs w:val="24"/>
              </w:rPr>
              <w:t>议题：中国共产党在新时代如何坚持以人民为中心？</w:t>
            </w:r>
            <w:r>
              <w:rPr>
                <w:rFonts w:ascii="宋体" w:hAnsi="宋体" w:cs="宋体"/>
                <w:sz w:val="24"/>
                <w:szCs w:val="24"/>
              </w:rPr>
              <w:br w:type="textWrapping"/>
            </w:r>
            <w:r>
              <w:rPr>
                <w:rFonts w:hint="eastAsia" w:ascii="宋体" w:hAnsi="宋体" w:cs="宋体"/>
                <w:sz w:val="24"/>
                <w:szCs w:val="24"/>
              </w:rPr>
              <w:t>1.</w:t>
            </w:r>
            <w:r>
              <w:rPr>
                <w:rFonts w:ascii="宋体" w:hAnsi="宋体" w:cs="宋体"/>
                <w:sz w:val="24"/>
                <w:szCs w:val="24"/>
              </w:rPr>
              <w:t xml:space="preserve"> </w:t>
            </w:r>
            <w:r>
              <w:rPr>
                <w:rFonts w:hint="eastAsia" w:ascii="Calibri" w:hAnsi="Calibri"/>
                <w:sz w:val="24"/>
                <w:szCs w:val="24"/>
              </w:rPr>
              <w:t>坚持以人民为中心的内涵：坚持人民至上、坚持人民为中心、坚持实现全体人民共同富裕。</w:t>
            </w:r>
          </w:p>
          <w:p w14:paraId="3995A7D0">
            <w:pPr>
              <w:spacing w:line="360" w:lineRule="auto"/>
              <w:rPr>
                <w:rFonts w:hint="eastAsia" w:ascii="Calibri" w:hAnsi="Calibri"/>
                <w:sz w:val="24"/>
                <w:szCs w:val="24"/>
              </w:rPr>
            </w:pPr>
          </w:p>
          <w:p w14:paraId="4424171F">
            <w:pPr>
              <w:spacing w:line="360" w:lineRule="auto"/>
              <w:rPr>
                <w:rFonts w:hint="eastAsia" w:ascii="宋体" w:hAnsi="宋体"/>
                <w:bCs/>
                <w:sz w:val="24"/>
                <w:szCs w:val="24"/>
              </w:rPr>
            </w:pPr>
            <w:r>
              <w:rPr>
                <w:rFonts w:hint="eastAsia" w:ascii="宋体" w:hAnsi="宋体"/>
                <w:sz w:val="24"/>
                <w:szCs w:val="24"/>
              </w:rPr>
              <w:t>2.</w:t>
            </w:r>
            <w:r>
              <w:rPr>
                <w:rFonts w:ascii="Calibri" w:hAnsi="Calibri"/>
                <w:sz w:val="24"/>
                <w:szCs w:val="24"/>
              </w:rPr>
              <w:t xml:space="preserve"> </w:t>
            </w:r>
            <w:r>
              <w:rPr>
                <w:rFonts w:hint="eastAsia" w:ascii="Calibri" w:hAnsi="Calibri"/>
                <w:sz w:val="24"/>
                <w:szCs w:val="24"/>
              </w:rPr>
              <w:t>坚持以人民为中心的要求：要尊重人民的主体地位和首创精神，最大限度地激发人民的创造热情。要坚持群众路线，把群众路线贯彻到治国理政全部活动之中。</w:t>
            </w:r>
          </w:p>
        </w:tc>
        <w:tc>
          <w:tcPr>
            <w:tcW w:w="2693" w:type="dxa"/>
            <w:tcBorders>
              <w:left w:val="single" w:color="auto" w:sz="4" w:space="0"/>
              <w:bottom w:val="single" w:color="auto" w:sz="4" w:space="0"/>
              <w:right w:val="single" w:color="auto" w:sz="4" w:space="0"/>
            </w:tcBorders>
            <w:noWrap w:val="0"/>
            <w:vAlign w:val="top"/>
          </w:tcPr>
          <w:p w14:paraId="18BF9ED8">
            <w:pPr>
              <w:spacing w:line="360" w:lineRule="auto"/>
              <w:rPr>
                <w:rFonts w:ascii="宋体" w:hAnsi="宋体"/>
                <w:bCs/>
                <w:sz w:val="24"/>
                <w:szCs w:val="24"/>
              </w:rPr>
            </w:pPr>
            <w:r>
              <w:rPr>
                <w:rFonts w:hint="eastAsia" w:ascii="宋体" w:hAnsi="宋体"/>
                <w:bCs/>
                <w:sz w:val="24"/>
                <w:szCs w:val="24"/>
              </w:rPr>
              <w:t>1.</w:t>
            </w:r>
            <w:r>
              <w:rPr>
                <w:rFonts w:ascii="宋体" w:hAnsi="宋体"/>
                <w:bCs/>
                <w:sz w:val="24"/>
                <w:szCs w:val="24"/>
              </w:rPr>
              <w:t xml:space="preserve"> </w:t>
            </w:r>
            <w:r>
              <w:rPr>
                <w:rFonts w:hint="eastAsia" w:ascii="宋体" w:hAnsi="宋体"/>
                <w:bCs/>
                <w:sz w:val="24"/>
                <w:szCs w:val="24"/>
              </w:rPr>
              <w:t>提供我国抗击疫情的相关资料，引导学生进行小组合作探究。根据学生的回答，引导学生理解坚持以人民为中心要坚持人民至上、坚持人民为中心。</w:t>
            </w:r>
          </w:p>
          <w:p w14:paraId="3ED4823C">
            <w:pPr>
              <w:spacing w:line="360" w:lineRule="auto"/>
              <w:rPr>
                <w:rFonts w:ascii="宋体" w:hAnsi="宋体"/>
                <w:bCs/>
                <w:sz w:val="24"/>
                <w:szCs w:val="24"/>
              </w:rPr>
            </w:pPr>
          </w:p>
          <w:p w14:paraId="58CFD914">
            <w:pPr>
              <w:spacing w:line="360" w:lineRule="auto"/>
              <w:rPr>
                <w:rFonts w:ascii="宋体" w:hAnsi="宋体"/>
                <w:bCs/>
                <w:sz w:val="24"/>
                <w:szCs w:val="24"/>
              </w:rPr>
            </w:pPr>
          </w:p>
          <w:p w14:paraId="28A08956">
            <w:pPr>
              <w:spacing w:line="360" w:lineRule="auto"/>
              <w:rPr>
                <w:rFonts w:ascii="宋体" w:hAnsi="宋体"/>
                <w:bCs/>
                <w:sz w:val="24"/>
                <w:szCs w:val="24"/>
              </w:rPr>
            </w:pPr>
          </w:p>
          <w:p w14:paraId="70313C41">
            <w:pPr>
              <w:spacing w:line="360" w:lineRule="auto"/>
              <w:rPr>
                <w:rFonts w:ascii="宋体" w:hAnsi="宋体"/>
                <w:bCs/>
                <w:sz w:val="24"/>
                <w:szCs w:val="24"/>
              </w:rPr>
            </w:pPr>
          </w:p>
          <w:p w14:paraId="25658955">
            <w:pPr>
              <w:spacing w:line="360" w:lineRule="auto"/>
              <w:rPr>
                <w:rFonts w:hint="eastAsia" w:ascii="宋体" w:hAnsi="宋体"/>
                <w:bCs/>
                <w:sz w:val="24"/>
                <w:szCs w:val="24"/>
              </w:rPr>
            </w:pPr>
          </w:p>
          <w:p w14:paraId="62F3C797">
            <w:pPr>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 xml:space="preserve"> </w:t>
            </w:r>
            <w:r>
              <w:rPr>
                <w:rFonts w:hint="eastAsia" w:ascii="宋体" w:hAnsi="宋体"/>
                <w:bCs/>
                <w:sz w:val="24"/>
                <w:szCs w:val="24"/>
              </w:rPr>
              <w:t>提供我国脱贫攻坚的相关资料，引导学生进行现场连线。让学生在询问与分享自己家庭或家乡变化的过程中，感悟以人民为中心要坚持实现全体人民共同富裕。理解坚持以人民为中心的要求。</w:t>
            </w:r>
          </w:p>
        </w:tc>
        <w:tc>
          <w:tcPr>
            <w:tcW w:w="3510" w:type="dxa"/>
            <w:gridSpan w:val="2"/>
            <w:tcBorders>
              <w:left w:val="single" w:color="auto" w:sz="4" w:space="0"/>
              <w:bottom w:val="single" w:color="auto" w:sz="4" w:space="0"/>
              <w:right w:val="single" w:color="auto" w:sz="4" w:space="0"/>
            </w:tcBorders>
            <w:noWrap w:val="0"/>
            <w:vAlign w:val="top"/>
          </w:tcPr>
          <w:p w14:paraId="5A4F6E08">
            <w:pPr>
              <w:spacing w:line="360" w:lineRule="auto"/>
              <w:rPr>
                <w:rFonts w:hint="eastAsia" w:ascii="宋体" w:hAnsi="宋体"/>
                <w:sz w:val="24"/>
                <w:szCs w:val="24"/>
              </w:rPr>
            </w:pP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案例合作探究：抗击疫情</w:t>
            </w:r>
          </w:p>
          <w:p w14:paraId="6BBDF659">
            <w:pPr>
              <w:spacing w:line="360" w:lineRule="auto"/>
              <w:ind w:firstLine="240" w:firstLineChars="100"/>
              <w:rPr>
                <w:rFonts w:hint="eastAsia" w:ascii="宋体" w:hAnsi="宋体"/>
                <w:sz w:val="24"/>
                <w:szCs w:val="24"/>
              </w:rPr>
            </w:pPr>
            <w:r>
              <w:rPr>
                <w:rFonts w:hint="eastAsia" w:ascii="宋体" w:hAnsi="宋体"/>
                <w:sz w:val="24"/>
                <w:szCs w:val="24"/>
              </w:rPr>
              <w:t>根据我国抗击疫情的相关资料，进行合作探究：</w:t>
            </w:r>
          </w:p>
          <w:p w14:paraId="59826871">
            <w:pPr>
              <w:spacing w:line="360" w:lineRule="auto"/>
              <w:rPr>
                <w:rFonts w:hint="eastAsia" w:ascii="宋体" w:hAnsi="宋体"/>
                <w:sz w:val="24"/>
                <w:szCs w:val="24"/>
              </w:rPr>
            </w:pPr>
            <w:r>
              <w:rPr>
                <w:rFonts w:ascii="宋体" w:hAnsi="宋体" w:cs="Calibri"/>
                <w:sz w:val="24"/>
                <w:szCs w:val="24"/>
              </w:rPr>
              <w:t>①</w:t>
            </w:r>
            <w:r>
              <w:rPr>
                <w:rFonts w:hint="eastAsia" w:ascii="宋体" w:hAnsi="宋体"/>
                <w:sz w:val="24"/>
                <w:szCs w:val="24"/>
              </w:rPr>
              <w:t>中国为什么能取得抗击疫情的阶段性胜利？</w:t>
            </w:r>
          </w:p>
          <w:p w14:paraId="07922653">
            <w:pPr>
              <w:spacing w:line="360" w:lineRule="auto"/>
              <w:rPr>
                <w:rFonts w:ascii="宋体" w:hAnsi="宋体"/>
                <w:sz w:val="24"/>
                <w:szCs w:val="24"/>
              </w:rPr>
            </w:pPr>
            <w:r>
              <w:rPr>
                <w:rFonts w:ascii="宋体" w:hAnsi="宋体" w:cs="Calibri"/>
                <w:sz w:val="24"/>
                <w:szCs w:val="24"/>
              </w:rPr>
              <w:t>②</w:t>
            </w:r>
            <w:r>
              <w:rPr>
                <w:rFonts w:hint="eastAsia" w:ascii="宋体" w:hAnsi="宋体"/>
                <w:sz w:val="24"/>
                <w:szCs w:val="24"/>
              </w:rPr>
              <w:t xml:space="preserve">谈谈你对习近平总书记所说的“抗击疫情是为了人民，也必须依靠人民”的理解。 </w:t>
            </w:r>
          </w:p>
          <w:p w14:paraId="62547607">
            <w:pPr>
              <w:spacing w:line="360" w:lineRule="auto"/>
              <w:rPr>
                <w:rFonts w:hint="eastAsia" w:ascii="宋体" w:hAnsi="宋体"/>
                <w:sz w:val="24"/>
                <w:szCs w:val="24"/>
              </w:rPr>
            </w:pPr>
          </w:p>
          <w:p w14:paraId="30B3BD9A">
            <w:pPr>
              <w:spacing w:line="360" w:lineRule="auto"/>
              <w:rPr>
                <w:rFonts w:ascii="宋体" w:hAnsi="宋体"/>
                <w:sz w:val="24"/>
                <w:szCs w:val="24"/>
              </w:rPr>
            </w:pPr>
          </w:p>
          <w:p w14:paraId="612F45A7">
            <w:pPr>
              <w:spacing w:line="360" w:lineRule="auto"/>
              <w:rPr>
                <w:rFonts w:ascii="宋体" w:hAnsi="宋体"/>
                <w:sz w:val="24"/>
                <w:szCs w:val="24"/>
              </w:rPr>
            </w:pPr>
          </w:p>
          <w:p w14:paraId="1827F796">
            <w:pPr>
              <w:spacing w:line="360" w:lineRule="auto"/>
              <w:rPr>
                <w:rFonts w:hint="eastAsia" w:ascii="宋体" w:hAnsi="宋体"/>
                <w:sz w:val="24"/>
                <w:szCs w:val="24"/>
              </w:rPr>
            </w:pPr>
          </w:p>
          <w:p w14:paraId="14E3081F">
            <w:pPr>
              <w:spacing w:line="360" w:lineRule="auto"/>
              <w:rPr>
                <w:rFonts w:hint="eastAsia" w:ascii="Calibri" w:hAnsi="Calibri"/>
                <w:sz w:val="24"/>
                <w:szCs w:val="24"/>
              </w:rPr>
            </w:pP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现场连线</w:t>
            </w:r>
            <w:r>
              <w:rPr>
                <w:rFonts w:hint="eastAsia" w:ascii="Calibri" w:hAnsi="Calibri"/>
                <w:sz w:val="24"/>
                <w:szCs w:val="24"/>
              </w:rPr>
              <w:t>：脱贫攻坚</w:t>
            </w:r>
          </w:p>
          <w:p w14:paraId="5A32F109">
            <w:pPr>
              <w:spacing w:line="360" w:lineRule="auto"/>
              <w:ind w:firstLine="240" w:firstLineChars="100"/>
              <w:rPr>
                <w:rFonts w:hint="eastAsia" w:ascii="Calibri" w:hAnsi="Calibri"/>
                <w:sz w:val="24"/>
                <w:szCs w:val="24"/>
              </w:rPr>
            </w:pPr>
            <w:r>
              <w:rPr>
                <w:rFonts w:hint="eastAsia" w:ascii="Calibri" w:hAnsi="Calibri"/>
                <w:sz w:val="24"/>
                <w:szCs w:val="24"/>
              </w:rPr>
              <w:t>根据我国脱贫攻坚的相关资料，进行现场连线：</w:t>
            </w:r>
          </w:p>
          <w:p w14:paraId="239F867C">
            <w:pPr>
              <w:spacing w:line="360" w:lineRule="auto"/>
              <w:ind w:firstLine="240" w:firstLineChars="100"/>
              <w:rPr>
                <w:rFonts w:hint="eastAsia" w:ascii="宋体" w:hAnsi="宋体"/>
                <w:bCs/>
                <w:sz w:val="24"/>
                <w:szCs w:val="24"/>
              </w:rPr>
            </w:pPr>
            <w:r>
              <w:rPr>
                <w:rFonts w:hint="eastAsia" w:ascii="Calibri" w:hAnsi="Calibri"/>
                <w:sz w:val="24"/>
                <w:szCs w:val="24"/>
              </w:rPr>
              <w:t>结合脱贫攻坚的资料，联系自身实际，现场连线家人，从衣食住行等方面询问自己家庭或家乡的变化，并据此谈一谈你对“以人民为中心”的理解。</w:t>
            </w:r>
            <w:r>
              <w:rPr>
                <w:rFonts w:ascii="Calibri" w:hAnsi="Calibri"/>
                <w:sz w:val="24"/>
                <w:szCs w:val="24"/>
              </w:rPr>
              <w:cr/>
            </w:r>
          </w:p>
        </w:tc>
      </w:tr>
      <w:tr w14:paraId="021C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720" w:type="dxa"/>
            <w:tcBorders>
              <w:left w:val="single" w:color="auto" w:sz="4" w:space="0"/>
              <w:bottom w:val="single" w:color="auto" w:sz="4" w:space="0"/>
              <w:right w:val="single" w:color="auto" w:sz="4" w:space="0"/>
            </w:tcBorders>
            <w:noWrap w:val="0"/>
            <w:vAlign w:val="center"/>
          </w:tcPr>
          <w:p w14:paraId="15EBFCB9">
            <w:pPr>
              <w:spacing w:line="360" w:lineRule="auto"/>
              <w:jc w:val="center"/>
              <w:rPr>
                <w:rFonts w:hint="eastAsia" w:ascii="宋体" w:hAnsi="宋体"/>
                <w:b/>
                <w:bCs/>
                <w:sz w:val="24"/>
                <w:szCs w:val="24"/>
              </w:rPr>
            </w:pPr>
            <w:r>
              <w:rPr>
                <w:rFonts w:hint="eastAsia" w:ascii="Calibri" w:hAnsi="Calibri"/>
                <w:b/>
                <w:sz w:val="24"/>
                <w:szCs w:val="24"/>
              </w:rPr>
              <w:t>环节三：践行青春誓言</w:t>
            </w:r>
          </w:p>
        </w:tc>
        <w:tc>
          <w:tcPr>
            <w:tcW w:w="2365" w:type="dxa"/>
            <w:gridSpan w:val="2"/>
            <w:tcBorders>
              <w:left w:val="single" w:color="auto" w:sz="4" w:space="0"/>
              <w:bottom w:val="single" w:color="auto" w:sz="4" w:space="0"/>
              <w:right w:val="single" w:color="auto" w:sz="4" w:space="0"/>
            </w:tcBorders>
            <w:noWrap w:val="0"/>
            <w:vAlign w:val="top"/>
          </w:tcPr>
          <w:p w14:paraId="7DE8FA2C">
            <w:pPr>
              <w:spacing w:line="360" w:lineRule="auto"/>
              <w:rPr>
                <w:rFonts w:hint="eastAsia" w:ascii="宋体" w:hAnsi="宋体"/>
                <w:bCs/>
                <w:sz w:val="24"/>
                <w:szCs w:val="24"/>
              </w:rPr>
            </w:pPr>
            <w:r>
              <w:rPr>
                <w:rFonts w:hint="eastAsia"/>
                <w:sz w:val="24"/>
                <w:szCs w:val="24"/>
              </w:rPr>
              <w:t>议题：如何践行劳动精神、工匠精神、劳模精神，发挥主体地位和首创精神，在为人民服务的实践中实现人生价值？</w:t>
            </w:r>
          </w:p>
        </w:tc>
        <w:tc>
          <w:tcPr>
            <w:tcW w:w="2693" w:type="dxa"/>
            <w:tcBorders>
              <w:left w:val="single" w:color="auto" w:sz="4" w:space="0"/>
              <w:bottom w:val="single" w:color="auto" w:sz="4" w:space="0"/>
              <w:right w:val="single" w:color="auto" w:sz="4" w:space="0"/>
            </w:tcBorders>
            <w:noWrap w:val="0"/>
            <w:vAlign w:val="top"/>
          </w:tcPr>
          <w:p w14:paraId="5120026F">
            <w:pPr>
              <w:numPr>
                <w:ilvl w:val="0"/>
                <w:numId w:val="2"/>
              </w:numPr>
              <w:spacing w:line="360" w:lineRule="auto"/>
              <w:rPr>
                <w:rFonts w:ascii="Calibri" w:hAnsi="Calibri"/>
                <w:sz w:val="24"/>
                <w:szCs w:val="24"/>
              </w:rPr>
            </w:pPr>
            <w:r>
              <w:rPr>
                <w:rFonts w:hint="eastAsia" w:ascii="Calibri" w:hAnsi="Calibri"/>
                <w:sz w:val="24"/>
                <w:szCs w:val="24"/>
              </w:rPr>
              <w:t>提供曾俊钦的资料，引导学生思考分析曾俊钦的做法，引领学生向榜样看齐，增强学生的专业自信，培养学生的职业精神。</w:t>
            </w:r>
          </w:p>
          <w:p w14:paraId="47185160">
            <w:pPr>
              <w:spacing w:line="360" w:lineRule="auto"/>
              <w:rPr>
                <w:rFonts w:ascii="Calibri" w:hAnsi="Calibri"/>
                <w:sz w:val="24"/>
                <w:szCs w:val="24"/>
              </w:rPr>
            </w:pPr>
          </w:p>
          <w:p w14:paraId="6E77B8E0">
            <w:pPr>
              <w:spacing w:line="360" w:lineRule="auto"/>
              <w:rPr>
                <w:rFonts w:ascii="Calibri" w:hAnsi="Calibri"/>
                <w:sz w:val="24"/>
                <w:szCs w:val="24"/>
              </w:rPr>
            </w:pPr>
          </w:p>
          <w:p w14:paraId="24E24144">
            <w:pPr>
              <w:spacing w:line="360" w:lineRule="auto"/>
              <w:rPr>
                <w:rFonts w:ascii="Calibri" w:hAnsi="Calibri"/>
                <w:sz w:val="24"/>
                <w:szCs w:val="24"/>
              </w:rPr>
            </w:pPr>
          </w:p>
          <w:p w14:paraId="46B6888D">
            <w:pPr>
              <w:spacing w:line="360" w:lineRule="auto"/>
              <w:rPr>
                <w:rFonts w:ascii="Calibri" w:hAnsi="Calibri"/>
                <w:sz w:val="24"/>
                <w:szCs w:val="24"/>
              </w:rPr>
            </w:pPr>
          </w:p>
          <w:p w14:paraId="2047F543">
            <w:pPr>
              <w:spacing w:line="360" w:lineRule="auto"/>
              <w:rPr>
                <w:rFonts w:ascii="Calibri" w:hAnsi="Calibri"/>
                <w:sz w:val="24"/>
                <w:szCs w:val="24"/>
              </w:rPr>
            </w:pPr>
          </w:p>
          <w:p w14:paraId="17565ACD">
            <w:pPr>
              <w:spacing w:line="360" w:lineRule="auto"/>
              <w:rPr>
                <w:rFonts w:ascii="Calibri" w:hAnsi="Calibri"/>
                <w:sz w:val="24"/>
                <w:szCs w:val="24"/>
              </w:rPr>
            </w:pPr>
          </w:p>
          <w:p w14:paraId="78B252CF">
            <w:pPr>
              <w:spacing w:line="360" w:lineRule="auto"/>
              <w:rPr>
                <w:rFonts w:hint="eastAsia" w:ascii="Calibri" w:hAnsi="Calibri"/>
                <w:sz w:val="24"/>
                <w:szCs w:val="24"/>
              </w:rPr>
            </w:pPr>
          </w:p>
          <w:p w14:paraId="7B029363">
            <w:pPr>
              <w:spacing w:line="360" w:lineRule="auto"/>
              <w:rPr>
                <w:rFonts w:ascii="宋体" w:hAnsi="宋体"/>
                <w:sz w:val="24"/>
                <w:szCs w:val="24"/>
              </w:rPr>
            </w:pPr>
            <w:r>
              <w:rPr>
                <w:rFonts w:hint="eastAsia" w:ascii="宋体" w:hAnsi="宋体"/>
                <w:sz w:val="24"/>
                <w:szCs w:val="24"/>
              </w:rPr>
              <w:t>2.介绍我省实施“三高四新”战略、建设现代化新湖南的背景，引导学生谈自己的规划。</w:t>
            </w:r>
          </w:p>
          <w:p w14:paraId="5BC198A5">
            <w:pPr>
              <w:spacing w:line="360" w:lineRule="auto"/>
              <w:rPr>
                <w:rFonts w:hint="eastAsia" w:ascii="宋体" w:hAnsi="宋体"/>
                <w:bCs/>
                <w:sz w:val="24"/>
                <w:szCs w:val="24"/>
              </w:rPr>
            </w:pPr>
            <w:r>
              <w:rPr>
                <w:rFonts w:hint="eastAsia" w:ascii="宋体" w:hAnsi="宋体"/>
                <w:sz w:val="24"/>
                <w:szCs w:val="24"/>
              </w:rPr>
              <w:t>3.布置课后志愿服务活动。</w:t>
            </w:r>
          </w:p>
        </w:tc>
        <w:tc>
          <w:tcPr>
            <w:tcW w:w="3510" w:type="dxa"/>
            <w:gridSpan w:val="2"/>
            <w:tcBorders>
              <w:left w:val="single" w:color="auto" w:sz="4" w:space="0"/>
              <w:bottom w:val="single" w:color="auto" w:sz="4" w:space="0"/>
              <w:right w:val="single" w:color="auto" w:sz="4" w:space="0"/>
            </w:tcBorders>
            <w:noWrap w:val="0"/>
            <w:vAlign w:val="top"/>
          </w:tcPr>
          <w:p w14:paraId="1A97725B">
            <w:pPr>
              <w:spacing w:line="360" w:lineRule="auto"/>
              <w:rPr>
                <w:rFonts w:hint="eastAsia" w:ascii="宋体" w:hAnsi="宋体"/>
                <w:bCs/>
                <w:sz w:val="24"/>
                <w:szCs w:val="24"/>
              </w:rPr>
            </w:pPr>
            <w:r>
              <w:rPr>
                <w:rFonts w:hint="eastAsia" w:ascii="宋体" w:hAnsi="宋体"/>
                <w:bCs/>
                <w:sz w:val="24"/>
                <w:szCs w:val="24"/>
              </w:rPr>
              <w:t>1.榜样示范，典型引领</w:t>
            </w:r>
          </w:p>
          <w:p w14:paraId="30C8661C">
            <w:pPr>
              <w:spacing w:line="360" w:lineRule="auto"/>
              <w:rPr>
                <w:rFonts w:hint="eastAsia" w:ascii="宋体" w:hAnsi="宋体"/>
                <w:bCs/>
                <w:sz w:val="24"/>
                <w:szCs w:val="24"/>
              </w:rPr>
            </w:pPr>
            <w:r>
              <w:rPr>
                <w:rFonts w:hint="eastAsia" w:ascii="宋体" w:hAnsi="宋体"/>
                <w:bCs/>
                <w:sz w:val="24"/>
                <w:szCs w:val="24"/>
              </w:rPr>
              <w:t>①根据榜样人物：全国劳动模范、广州22岁职校毕业生——曾俊钦的故事，思考：曾俊钦是如何践行劳动精神、工匠精神、劳模精神，发挥其自身的主体地位和首创精神，在为人民服务的实践中实现人生价值的？</w:t>
            </w:r>
          </w:p>
          <w:p w14:paraId="144FE013">
            <w:pPr>
              <w:spacing w:line="360" w:lineRule="auto"/>
              <w:rPr>
                <w:rFonts w:ascii="宋体" w:hAnsi="宋体"/>
                <w:bCs/>
                <w:sz w:val="24"/>
                <w:szCs w:val="24"/>
              </w:rPr>
            </w:pPr>
            <w:r>
              <w:rPr>
                <w:rFonts w:hint="eastAsia" w:ascii="宋体" w:hAnsi="宋体"/>
                <w:bCs/>
                <w:sz w:val="24"/>
                <w:szCs w:val="24"/>
              </w:rPr>
              <w:t>②聚焦自身，基于实施“三高四新”战略、建设现代化新湖南的背景，结合曾俊钦的事例，谈谈自身的规划？</w:t>
            </w:r>
          </w:p>
          <w:p w14:paraId="65EC999D">
            <w:pPr>
              <w:spacing w:line="360" w:lineRule="auto"/>
              <w:rPr>
                <w:rFonts w:hint="eastAsia" w:ascii="宋体" w:hAnsi="宋体"/>
                <w:bCs/>
                <w:sz w:val="24"/>
                <w:szCs w:val="24"/>
              </w:rPr>
            </w:pPr>
          </w:p>
          <w:p w14:paraId="7135BE00">
            <w:pPr>
              <w:spacing w:line="360" w:lineRule="auto"/>
              <w:rPr>
                <w:rFonts w:hint="eastAsia" w:ascii="宋体" w:hAnsi="宋体"/>
                <w:bCs/>
                <w:sz w:val="24"/>
                <w:szCs w:val="24"/>
              </w:rPr>
            </w:pPr>
            <w:r>
              <w:rPr>
                <w:rFonts w:hint="eastAsia" w:ascii="宋体" w:hAnsi="宋体"/>
                <w:bCs/>
                <w:sz w:val="24"/>
                <w:szCs w:val="24"/>
              </w:rPr>
              <w:t>2.志愿服务，知行合一</w:t>
            </w:r>
          </w:p>
          <w:p w14:paraId="2179EC0B">
            <w:pPr>
              <w:spacing w:line="360" w:lineRule="auto"/>
              <w:rPr>
                <w:rFonts w:hint="eastAsia" w:ascii="宋体" w:hAnsi="宋体"/>
                <w:bCs/>
                <w:sz w:val="24"/>
                <w:szCs w:val="24"/>
              </w:rPr>
            </w:pPr>
            <w:r>
              <w:rPr>
                <w:rFonts w:hint="eastAsia" w:ascii="宋体" w:hAnsi="宋体"/>
                <w:bCs/>
                <w:sz w:val="24"/>
                <w:szCs w:val="24"/>
              </w:rPr>
              <w:t>课后请走进居民小区，选择一项活动开展志愿服务。</w:t>
            </w:r>
          </w:p>
          <w:p w14:paraId="00B7DA3B">
            <w:pPr>
              <w:spacing w:line="360" w:lineRule="auto"/>
              <w:rPr>
                <w:rFonts w:hint="eastAsia" w:ascii="宋体" w:hAnsi="宋体"/>
                <w:bCs/>
                <w:sz w:val="24"/>
                <w:szCs w:val="24"/>
              </w:rPr>
            </w:pPr>
            <w:r>
              <w:rPr>
                <w:rFonts w:hint="eastAsia" w:ascii="宋体" w:hAnsi="宋体"/>
                <w:bCs/>
                <w:sz w:val="24"/>
                <w:szCs w:val="24"/>
              </w:rPr>
              <w:t>志愿服务活动：1.对小广告、“牛皮藓”等顽症进行集中大清除。2.捡垃圾，美化小区环境。3.去老年公寓慰问老人，给他们送关爱。</w:t>
            </w:r>
          </w:p>
        </w:tc>
      </w:tr>
    </w:tbl>
    <w:p w14:paraId="6EB474B1">
      <w:pPr>
        <w:spacing w:line="20" w:lineRule="atLeast"/>
        <w:rPr>
          <w:rFonts w:hint="eastAsia"/>
          <w:sz w:val="10"/>
          <w:szCs w:val="10"/>
        </w:rPr>
      </w:pPr>
      <w:r>
        <w:rPr>
          <w:rFonts w:hint="eastAsia"/>
          <w:sz w:val="10"/>
          <w:szCs w:val="10"/>
        </w:rPr>
        <w:t xml:space="preserve">  </w:t>
      </w:r>
    </w:p>
    <w:p w14:paraId="6542B7DF"/>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77E4">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lang w:val="zh-CN"/>
      </w:rPr>
      <w:t>4</w:t>
    </w:r>
    <w:r>
      <w:fldChar w:fldCharType="end"/>
    </w:r>
  </w:p>
  <w:p w14:paraId="6E991238">
    <w:pPr>
      <w:pStyle w:val="5"/>
      <w:ind w:firstLine="7020" w:firstLineChars="3900"/>
    </w:pPr>
  </w:p>
  <w:p w14:paraId="2AEFE851">
    <w:pPr>
      <w:tabs>
        <w:tab w:val="center" w:pos="4153"/>
        <w:tab w:val="right" w:pos="8306"/>
      </w:tabs>
      <w:snapToGrid w:val="0"/>
      <w:jc w:val="left"/>
      <w:rPr>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FA5C">
    <w:pPr>
      <w:pStyle w:val="5"/>
      <w:framePr w:wrap="around" w:vAnchor="text" w:hAnchor="margin" w:xAlign="center" w:y="1"/>
      <w:rPr>
        <w:rStyle w:val="12"/>
      </w:rPr>
    </w:pPr>
    <w:r>
      <w:fldChar w:fldCharType="begin"/>
    </w:r>
    <w:r>
      <w:rPr>
        <w:rStyle w:val="12"/>
      </w:rPr>
      <w:instrText xml:space="preserve">PAGE  </w:instrText>
    </w:r>
    <w:r>
      <w:fldChar w:fldCharType="separate"/>
    </w:r>
    <w:r>
      <w:fldChar w:fldCharType="end"/>
    </w:r>
  </w:p>
  <w:p w14:paraId="3F539DD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9A2E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2B410">
    <w:pPr>
      <w:pStyle w:val="6"/>
    </w:pPr>
    <w:r>
      <w:rPr>
        <w:rFonts w:hint="eastAsia"/>
      </w:rPr>
      <w:t xml:space="preserve">                                                              </w:t>
    </w:r>
  </w:p>
  <w:p w14:paraId="00F795C9">
    <w:pPr>
      <w:pBdr>
        <w:bottom w:val="none" w:color="auto" w:sz="0" w:space="1"/>
      </w:pBdr>
      <w:snapToGrid w:val="0"/>
      <w:rPr>
        <w:kern w:val="0"/>
        <w:sz w:val="2"/>
        <w:szCs w:val="2"/>
      </w:rPr>
    </w:pPr>
    <w:r>
      <w:pict>
        <v:shape id="图片 4" o:spid="_x0000_s2050"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48996">
    <w:pPr>
      <w:pStyle w:val="6"/>
    </w:pPr>
    <w:r>
      <w:rPr>
        <w:lang w:val="zh-CN"/>
      </w:rPr>
      <w:pict>
        <v:shape id="PowerPlusWaterMarkObject3675774" o:spid="_x0000_s2049" o:spt="136" type="#_x0000_t136" style="position:absolute;left:0pt;height:54.1pt;width:577.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f" xscale="f" string="湖南省《读本》（中职）集体备课组" style="font-family:微软雅黑;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4148">
    <w:pPr>
      <w:pStyle w:val="6"/>
      <w:rPr>
        <w:rFonts w:hint="eastAsia" w:ascii="方正小标宋简体" w:eastAsia="方正小标宋简体"/>
        <w:sz w:val="30"/>
        <w:szCs w:val="30"/>
      </w:rPr>
    </w:pPr>
    <w:r>
      <w:rPr>
        <w:lang w:val="zh-CN"/>
      </w:rPr>
      <w:pict>
        <v:shape id="PowerPlusWaterMarkObject3675773" o:spid="_x0000_s2054" o:spt="136" type="#_x0000_t136" style="position:absolute;left:0pt;height:54.1pt;width:577.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湖南省《读本》（中职）集体备课组" style="font-family:微软雅黑;font-size:8pt;v-same-letter-heights:f;v-text-align:center;"/>
        </v:shape>
      </w:pict>
    </w:r>
    <w:r>
      <w:rPr>
        <w:rFonts w:hint="eastAsia" w:ascii="方正小标宋简体" w:eastAsia="方正小标宋简体"/>
        <w:sz w:val="30"/>
        <w:szCs w:val="30"/>
      </w:rPr>
      <w:t>《习近平新时代中国特色社会主义思想学生读本》（</w:t>
    </w:r>
    <w:r>
      <w:rPr>
        <w:rFonts w:hint="eastAsia" w:ascii="方正小标宋简体" w:eastAsia="方正小标宋简体"/>
        <w:sz w:val="30"/>
        <w:szCs w:val="30"/>
        <w:lang w:eastAsia="zh-CN"/>
      </w:rPr>
      <w:t>高中</w:t>
    </w:r>
    <w:r>
      <w:rPr>
        <w:rFonts w:hint="eastAsia" w:ascii="方正小标宋简体" w:eastAsia="方正小标宋简体"/>
        <w:sz w:val="30"/>
        <w:szCs w:val="30"/>
      </w:rPr>
      <w:t xml:space="preserve">）教学设计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74DB8"/>
    <w:multiLevelType w:val="singleLevel"/>
    <w:tmpl w:val="C3774DB8"/>
    <w:lvl w:ilvl="0" w:tentative="0">
      <w:start w:val="1"/>
      <w:numFmt w:val="decimal"/>
      <w:lvlText w:val="%1."/>
      <w:lvlJc w:val="left"/>
      <w:pPr>
        <w:tabs>
          <w:tab w:val="left" w:pos="312"/>
        </w:tabs>
      </w:pPr>
      <w:rPr>
        <w:rFonts w:ascii="宋体" w:hAnsi="宋体" w:eastAsia="宋体"/>
      </w:rPr>
    </w:lvl>
  </w:abstractNum>
  <w:abstractNum w:abstractNumId="1">
    <w:nsid w:val="2DBA3286"/>
    <w:multiLevelType w:val="singleLevel"/>
    <w:tmpl w:val="2DBA3286"/>
    <w:lvl w:ilvl="0" w:tentative="0">
      <w:start w:val="1"/>
      <w:numFmt w:val="decimal"/>
      <w:lvlText w:val="%1."/>
      <w:lvlJc w:val="left"/>
      <w:pPr>
        <w:tabs>
          <w:tab w:val="left" w:pos="312"/>
        </w:tabs>
      </w:pPr>
      <w:rPr>
        <w:rFonts w:ascii="宋体" w:hAnsi="宋体" w:eastAsia="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xY2Y0MmYyNjk0OWRiOGNmMmFmYWRkZTllZTZjZDEifQ=="/>
  </w:docVars>
  <w:rsids>
    <w:rsidRoot w:val="00172A27"/>
    <w:rsid w:val="00002D5C"/>
    <w:rsid w:val="000033FC"/>
    <w:rsid w:val="000216C2"/>
    <w:rsid w:val="00051916"/>
    <w:rsid w:val="00066C3B"/>
    <w:rsid w:val="00073D2C"/>
    <w:rsid w:val="00091E36"/>
    <w:rsid w:val="000B1AA9"/>
    <w:rsid w:val="00105240"/>
    <w:rsid w:val="00132D57"/>
    <w:rsid w:val="0014701E"/>
    <w:rsid w:val="0019115F"/>
    <w:rsid w:val="00192BE3"/>
    <w:rsid w:val="001A1F1C"/>
    <w:rsid w:val="001A447A"/>
    <w:rsid w:val="001C4F5C"/>
    <w:rsid w:val="001C6ED3"/>
    <w:rsid w:val="001F7AF6"/>
    <w:rsid w:val="0020446B"/>
    <w:rsid w:val="00205CD6"/>
    <w:rsid w:val="0021484D"/>
    <w:rsid w:val="002204FC"/>
    <w:rsid w:val="00223FEA"/>
    <w:rsid w:val="00230D30"/>
    <w:rsid w:val="00240452"/>
    <w:rsid w:val="00241365"/>
    <w:rsid w:val="00246DAD"/>
    <w:rsid w:val="00253B30"/>
    <w:rsid w:val="002576D9"/>
    <w:rsid w:val="00260235"/>
    <w:rsid w:val="00261F68"/>
    <w:rsid w:val="00264296"/>
    <w:rsid w:val="00270EFD"/>
    <w:rsid w:val="0027480A"/>
    <w:rsid w:val="00290BD3"/>
    <w:rsid w:val="00296470"/>
    <w:rsid w:val="002A2D24"/>
    <w:rsid w:val="002B40FC"/>
    <w:rsid w:val="002B6928"/>
    <w:rsid w:val="002D40C7"/>
    <w:rsid w:val="002E2337"/>
    <w:rsid w:val="00302FF2"/>
    <w:rsid w:val="00314C68"/>
    <w:rsid w:val="003359E0"/>
    <w:rsid w:val="0035158A"/>
    <w:rsid w:val="00355063"/>
    <w:rsid w:val="00374E56"/>
    <w:rsid w:val="00390873"/>
    <w:rsid w:val="00392BF0"/>
    <w:rsid w:val="0039757F"/>
    <w:rsid w:val="003A3DF3"/>
    <w:rsid w:val="003E0719"/>
    <w:rsid w:val="003E7ACE"/>
    <w:rsid w:val="004151FC"/>
    <w:rsid w:val="00423FB5"/>
    <w:rsid w:val="00425D18"/>
    <w:rsid w:val="00434808"/>
    <w:rsid w:val="004676F1"/>
    <w:rsid w:val="0047756D"/>
    <w:rsid w:val="00482A17"/>
    <w:rsid w:val="004B480D"/>
    <w:rsid w:val="004B4A29"/>
    <w:rsid w:val="004C2F41"/>
    <w:rsid w:val="004C3CBF"/>
    <w:rsid w:val="004D3A4C"/>
    <w:rsid w:val="004D7AC6"/>
    <w:rsid w:val="004F324A"/>
    <w:rsid w:val="0051237D"/>
    <w:rsid w:val="00513075"/>
    <w:rsid w:val="005131D5"/>
    <w:rsid w:val="00515639"/>
    <w:rsid w:val="00533738"/>
    <w:rsid w:val="005353BC"/>
    <w:rsid w:val="005406FE"/>
    <w:rsid w:val="00541DDA"/>
    <w:rsid w:val="00547A92"/>
    <w:rsid w:val="005577CA"/>
    <w:rsid w:val="0056065A"/>
    <w:rsid w:val="005670D6"/>
    <w:rsid w:val="00573DEF"/>
    <w:rsid w:val="00573E70"/>
    <w:rsid w:val="00577D1B"/>
    <w:rsid w:val="005844C7"/>
    <w:rsid w:val="005967AB"/>
    <w:rsid w:val="005A12E4"/>
    <w:rsid w:val="005C717A"/>
    <w:rsid w:val="005F3396"/>
    <w:rsid w:val="005F4BFC"/>
    <w:rsid w:val="005F6878"/>
    <w:rsid w:val="00615A0D"/>
    <w:rsid w:val="00620F69"/>
    <w:rsid w:val="00622C15"/>
    <w:rsid w:val="00631B82"/>
    <w:rsid w:val="0064334A"/>
    <w:rsid w:val="00645A8A"/>
    <w:rsid w:val="00661580"/>
    <w:rsid w:val="00673B28"/>
    <w:rsid w:val="00674954"/>
    <w:rsid w:val="00695A80"/>
    <w:rsid w:val="006C1BEF"/>
    <w:rsid w:val="006D4F30"/>
    <w:rsid w:val="006E0D55"/>
    <w:rsid w:val="006E24D7"/>
    <w:rsid w:val="006E5E46"/>
    <w:rsid w:val="006F390F"/>
    <w:rsid w:val="006F4BDE"/>
    <w:rsid w:val="0070310B"/>
    <w:rsid w:val="00705C8C"/>
    <w:rsid w:val="007302C9"/>
    <w:rsid w:val="00752AFD"/>
    <w:rsid w:val="00753962"/>
    <w:rsid w:val="007606CC"/>
    <w:rsid w:val="0076373F"/>
    <w:rsid w:val="007734F2"/>
    <w:rsid w:val="007806EB"/>
    <w:rsid w:val="00797242"/>
    <w:rsid w:val="007B5812"/>
    <w:rsid w:val="007D20C5"/>
    <w:rsid w:val="008067A6"/>
    <w:rsid w:val="00832D2A"/>
    <w:rsid w:val="0083651F"/>
    <w:rsid w:val="008475E2"/>
    <w:rsid w:val="008501C2"/>
    <w:rsid w:val="008546D9"/>
    <w:rsid w:val="00856558"/>
    <w:rsid w:val="008629BC"/>
    <w:rsid w:val="0086641B"/>
    <w:rsid w:val="0087281B"/>
    <w:rsid w:val="00875981"/>
    <w:rsid w:val="00880745"/>
    <w:rsid w:val="00880C74"/>
    <w:rsid w:val="00881C37"/>
    <w:rsid w:val="00884BDE"/>
    <w:rsid w:val="0089217F"/>
    <w:rsid w:val="008959B0"/>
    <w:rsid w:val="008A7D4F"/>
    <w:rsid w:val="008B0D11"/>
    <w:rsid w:val="008B793C"/>
    <w:rsid w:val="008D43F2"/>
    <w:rsid w:val="008E2190"/>
    <w:rsid w:val="008E4F05"/>
    <w:rsid w:val="00902D11"/>
    <w:rsid w:val="00917B7C"/>
    <w:rsid w:val="00960E84"/>
    <w:rsid w:val="0097405F"/>
    <w:rsid w:val="00976311"/>
    <w:rsid w:val="009861F8"/>
    <w:rsid w:val="00991098"/>
    <w:rsid w:val="009A001A"/>
    <w:rsid w:val="009A0C64"/>
    <w:rsid w:val="009D5195"/>
    <w:rsid w:val="009F7234"/>
    <w:rsid w:val="00A14D84"/>
    <w:rsid w:val="00A17498"/>
    <w:rsid w:val="00A22F6C"/>
    <w:rsid w:val="00A24FFB"/>
    <w:rsid w:val="00A25423"/>
    <w:rsid w:val="00A26B2B"/>
    <w:rsid w:val="00A87CDD"/>
    <w:rsid w:val="00A93C0D"/>
    <w:rsid w:val="00AA6B76"/>
    <w:rsid w:val="00AE174F"/>
    <w:rsid w:val="00B00529"/>
    <w:rsid w:val="00B01028"/>
    <w:rsid w:val="00B04D0B"/>
    <w:rsid w:val="00B10343"/>
    <w:rsid w:val="00B27DA1"/>
    <w:rsid w:val="00B30A89"/>
    <w:rsid w:val="00B32675"/>
    <w:rsid w:val="00B508FF"/>
    <w:rsid w:val="00B6249D"/>
    <w:rsid w:val="00B639A0"/>
    <w:rsid w:val="00B721A4"/>
    <w:rsid w:val="00B73C90"/>
    <w:rsid w:val="00BB5232"/>
    <w:rsid w:val="00BC56E9"/>
    <w:rsid w:val="00BF3824"/>
    <w:rsid w:val="00BF70C8"/>
    <w:rsid w:val="00C02FC6"/>
    <w:rsid w:val="00C3091A"/>
    <w:rsid w:val="00C30FEB"/>
    <w:rsid w:val="00C377D6"/>
    <w:rsid w:val="00C4439B"/>
    <w:rsid w:val="00C447BF"/>
    <w:rsid w:val="00C44B56"/>
    <w:rsid w:val="00C510AA"/>
    <w:rsid w:val="00C5786D"/>
    <w:rsid w:val="00C7215E"/>
    <w:rsid w:val="00CB630E"/>
    <w:rsid w:val="00D04AC8"/>
    <w:rsid w:val="00D13709"/>
    <w:rsid w:val="00D13C45"/>
    <w:rsid w:val="00D3284C"/>
    <w:rsid w:val="00D65814"/>
    <w:rsid w:val="00D659E9"/>
    <w:rsid w:val="00D710CB"/>
    <w:rsid w:val="00D80154"/>
    <w:rsid w:val="00D81E10"/>
    <w:rsid w:val="00DA23AD"/>
    <w:rsid w:val="00DA284A"/>
    <w:rsid w:val="00E23C7E"/>
    <w:rsid w:val="00E304B3"/>
    <w:rsid w:val="00E30F4B"/>
    <w:rsid w:val="00E41E81"/>
    <w:rsid w:val="00E63405"/>
    <w:rsid w:val="00E6568C"/>
    <w:rsid w:val="00E72318"/>
    <w:rsid w:val="00E75440"/>
    <w:rsid w:val="00E96B18"/>
    <w:rsid w:val="00EA12D5"/>
    <w:rsid w:val="00EA2BE9"/>
    <w:rsid w:val="00EB4F84"/>
    <w:rsid w:val="00EF6C21"/>
    <w:rsid w:val="00F0462F"/>
    <w:rsid w:val="00F14731"/>
    <w:rsid w:val="00F33C84"/>
    <w:rsid w:val="00F43824"/>
    <w:rsid w:val="00F47399"/>
    <w:rsid w:val="00F63A93"/>
    <w:rsid w:val="00F713AE"/>
    <w:rsid w:val="00F83592"/>
    <w:rsid w:val="00F90457"/>
    <w:rsid w:val="00FA1C2B"/>
    <w:rsid w:val="00FA2F98"/>
    <w:rsid w:val="00FB0D90"/>
    <w:rsid w:val="00FB3E54"/>
    <w:rsid w:val="00FC7361"/>
    <w:rsid w:val="00FD3765"/>
    <w:rsid w:val="00FD4711"/>
    <w:rsid w:val="02672FC5"/>
    <w:rsid w:val="0B554854"/>
    <w:rsid w:val="178248E5"/>
    <w:rsid w:val="1AC437A4"/>
    <w:rsid w:val="1F3C5FFF"/>
    <w:rsid w:val="2A7A3E7F"/>
    <w:rsid w:val="31480A9C"/>
    <w:rsid w:val="3E040446"/>
    <w:rsid w:val="424E1A22"/>
    <w:rsid w:val="4BC36FDC"/>
    <w:rsid w:val="532F31A9"/>
    <w:rsid w:val="56256085"/>
    <w:rsid w:val="5B63198D"/>
    <w:rsid w:val="662B5A52"/>
    <w:rsid w:val="6A645CCD"/>
    <w:rsid w:val="734D525A"/>
    <w:rsid w:val="7610262D"/>
    <w:rsid w:val="7ACC115A"/>
    <w:rsid w:val="7BED4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rPr>
  </w:style>
  <w:style w:type="paragraph" w:styleId="3">
    <w:name w:val="annotation text"/>
    <w:basedOn w:val="1"/>
    <w:uiPriority w:val="0"/>
    <w:pPr>
      <w:jc w:val="left"/>
    </w:pPr>
  </w:style>
  <w:style w:type="paragraph" w:styleId="4">
    <w:name w:val="Balloon Text"/>
    <w:basedOn w:val="1"/>
    <w:link w:val="14"/>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rFonts w:ascii="Times New Roman" w:hAnsi="Times New Roman" w:eastAsia="宋体" w:cs="Times New Roman"/>
      <w:b/>
      <w:bCs/>
    </w:rPr>
  </w:style>
  <w:style w:type="character" w:styleId="12">
    <w:name w:val="page number"/>
    <w:qFormat/>
    <w:uiPriority w:val="0"/>
    <w:rPr>
      <w:rFonts w:ascii="Times New Roman" w:hAnsi="Times New Roman" w:eastAsia="宋体" w:cs="Times New Roman"/>
    </w:rPr>
  </w:style>
  <w:style w:type="character" w:styleId="13">
    <w:name w:val="Hyperlink"/>
    <w:qFormat/>
    <w:uiPriority w:val="0"/>
    <w:rPr>
      <w:rFonts w:ascii="Times New Roman" w:hAnsi="Times New Roman" w:eastAsia="宋体" w:cs="Times New Roman"/>
      <w:color w:val="000000"/>
      <w:u w:val="none"/>
    </w:rPr>
  </w:style>
  <w:style w:type="character" w:customStyle="1" w:styleId="14">
    <w:name w:val="批注框文本 Char"/>
    <w:link w:val="4"/>
    <w:uiPriority w:val="0"/>
    <w:rPr>
      <w:rFonts w:ascii="Times New Roman" w:hAnsi="Times New Roman" w:eastAsia="宋体" w:cs="Times New Roman"/>
      <w:sz w:val="18"/>
      <w:szCs w:val="18"/>
    </w:rPr>
  </w:style>
  <w:style w:type="character" w:customStyle="1" w:styleId="15">
    <w:name w:val="orange1"/>
    <w:uiPriority w:val="0"/>
    <w:rPr>
      <w:rFonts w:ascii="Times New Roman" w:hAnsi="Times New Roman" w:eastAsia="宋体" w:cs="Times New Roman"/>
      <w:color w:val="FE7F00"/>
    </w:rPr>
  </w:style>
  <w:style w:type="paragraph" w:customStyle="1" w:styleId="16">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2054"/>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2589</Words>
  <Characters>2612</Characters>
  <Lines>0</Lines>
  <Paragraphs>0</Paragraphs>
  <TotalTime>0</TotalTime>
  <ScaleCrop>false</ScaleCrop>
  <LinksUpToDate>false</LinksUpToDate>
  <CharactersWithSpaces>2624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2021-09-08T04:11:00Z</dcterms:created>
  <dc:creator>Administrator</dc:creator>
  <cp:lastModifiedBy>WPS_1724734124</cp:lastModifiedBy>
  <dcterms:modified xsi:type="dcterms:W3CDTF">2024-09-20T08:28:23Z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44B609805C38458C843B3C601E567217_13</vt:lpwstr>
  </property>
</Properties>
</file>